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自贡市政协办公室</w:t>
      </w:r>
    </w:p>
    <w:p>
      <w:pPr>
        <w:widowControl/>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1</w:t>
      </w:r>
      <w:r>
        <w:rPr>
          <w:rFonts w:hint="default" w:ascii="Times New Roman" w:hAnsi="Times New Roman" w:eastAsia="方正小标宋简体" w:cs="Times New Roman"/>
          <w:sz w:val="44"/>
          <w:szCs w:val="44"/>
        </w:rPr>
        <w:t>年度部门决算编制的说明</w:t>
      </w:r>
    </w:p>
    <w:p>
      <w:pPr>
        <w:widowControl/>
        <w:spacing w:line="580" w:lineRule="exact"/>
        <w:jc w:val="center"/>
        <w:rPr>
          <w:rFonts w:hint="default" w:ascii="Times New Roman" w:hAnsi="Times New Roman" w:eastAsia="方正小标宋简体" w:cs="Times New Roman"/>
          <w:sz w:val="44"/>
          <w:szCs w:val="44"/>
        </w:rPr>
      </w:pPr>
    </w:p>
    <w:p>
      <w:pPr>
        <w:widowControl/>
        <w:spacing w:line="580" w:lineRule="exact"/>
        <w:jc w:val="center"/>
        <w:rPr>
          <w:rFonts w:hint="default" w:ascii="Times New Roman" w:hAnsi="Times New Roman" w:eastAsia="黑体" w:cs="Times New Roman"/>
          <w:color w:val="000000"/>
          <w:sz w:val="48"/>
          <w:szCs w:val="48"/>
        </w:rPr>
      </w:pPr>
      <w:r>
        <w:rPr>
          <w:rFonts w:hint="default" w:ascii="Times New Roman" w:hAnsi="Times New Roman" w:eastAsia="黑体" w:cs="Times New Roman"/>
          <w:color w:val="000000"/>
          <w:sz w:val="44"/>
          <w:szCs w:val="44"/>
        </w:rPr>
        <w:t>目 录</w:t>
      </w:r>
    </w:p>
    <w:p>
      <w:pPr>
        <w:pStyle w:val="9"/>
        <w:spacing w:line="500" w:lineRule="exact"/>
        <w:jc w:val="center"/>
        <w:rPr>
          <w:rFonts w:hint="default" w:ascii="仿宋_GB2312" w:hAnsi="Times New Roman" w:eastAsia="仿宋_GB2312" w:cs="Times New Roman"/>
          <w:b/>
          <w:bCs/>
          <w:i w:val="0"/>
          <w:iCs/>
          <w:color w:val="auto"/>
          <w:sz w:val="32"/>
          <w:szCs w:val="24"/>
        </w:rPr>
      </w:pPr>
      <w:r>
        <w:rPr>
          <w:rFonts w:hint="default" w:ascii="仿宋_GB2312" w:hAnsi="Times New Roman" w:eastAsia="仿宋_GB2312" w:cs="Times New Roman"/>
          <w:b/>
          <w:bCs/>
          <w:i w:val="0"/>
          <w:iCs/>
          <w:color w:val="auto"/>
          <w:sz w:val="32"/>
          <w:szCs w:val="24"/>
        </w:rPr>
        <w:t>公开时间：202</w:t>
      </w:r>
      <w:r>
        <w:rPr>
          <w:rFonts w:hint="default" w:ascii="仿宋_GB2312" w:hAnsi="Times New Roman" w:eastAsia="仿宋_GB2312" w:cs="Times New Roman"/>
          <w:b/>
          <w:bCs/>
          <w:i w:val="0"/>
          <w:iCs/>
          <w:color w:val="auto"/>
          <w:sz w:val="32"/>
          <w:szCs w:val="24"/>
          <w:lang w:val="en-US" w:eastAsia="zh-CN"/>
        </w:rPr>
        <w:t>2</w:t>
      </w:r>
      <w:r>
        <w:rPr>
          <w:rFonts w:hint="default" w:ascii="仿宋_GB2312" w:hAnsi="Times New Roman" w:eastAsia="仿宋_GB2312" w:cs="Times New Roman"/>
          <w:b/>
          <w:bCs/>
          <w:i w:val="0"/>
          <w:iCs/>
          <w:color w:val="auto"/>
          <w:sz w:val="32"/>
          <w:szCs w:val="24"/>
        </w:rPr>
        <w:t>年9月30日</w:t>
      </w:r>
    </w:p>
    <w:p>
      <w:pPr>
        <w:pStyle w:val="9"/>
        <w:keepNext w:val="0"/>
        <w:keepLines w:val="0"/>
        <w:pageBreakBefore w:val="0"/>
        <w:widowControl w:val="0"/>
        <w:tabs>
          <w:tab w:val="right" w:leader="dot" w:pos="8730"/>
          <w:tab w:val="clear" w:pos="8306"/>
        </w:tabs>
        <w:kinsoku/>
        <w:wordWrap/>
        <w:overflowPunct/>
        <w:topLinePunct w:val="0"/>
        <w:autoSpaceDE/>
        <w:autoSpaceDN/>
        <w:bidi w:val="0"/>
        <w:adjustRightInd/>
        <w:snapToGrid/>
        <w:spacing w:line="540" w:lineRule="exact"/>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i w:val="0"/>
          <w:iCs w:val="0"/>
          <w:sz w:val="28"/>
          <w:szCs w:val="28"/>
        </w:rPr>
        <w:fldChar w:fldCharType="begin"/>
      </w:r>
      <w:r>
        <w:rPr>
          <w:rFonts w:hint="default" w:ascii="Times New Roman" w:hAnsi="Times New Roman" w:eastAsia="仿宋" w:cs="Times New Roman"/>
          <w:b w:val="0"/>
          <w:bCs w:val="0"/>
          <w:i w:val="0"/>
          <w:iCs w:val="0"/>
          <w:sz w:val="28"/>
          <w:szCs w:val="28"/>
        </w:rPr>
        <w:instrText xml:space="preserve">TOC \o "1-2" \h \u </w:instrText>
      </w:r>
      <w:r>
        <w:rPr>
          <w:rFonts w:hint="default" w:ascii="Times New Roman" w:hAnsi="Times New Roman" w:eastAsia="仿宋" w:cs="Times New Roman"/>
          <w:b w:val="0"/>
          <w:bCs w:val="0"/>
          <w:i w:val="0"/>
          <w:iCs w:val="0"/>
          <w:sz w:val="28"/>
          <w:szCs w:val="28"/>
        </w:rPr>
        <w:fldChar w:fldCharType="separate"/>
      </w:r>
      <w:r>
        <w:rPr>
          <w:rFonts w:hint="default" w:ascii="Times New Roman" w:hAnsi="Times New Roman" w:eastAsia="仿宋" w:cs="Times New Roman"/>
          <w:b w:val="0"/>
          <w:bCs w:val="0"/>
          <w:i w:val="0"/>
          <w:iCs w:val="0"/>
          <w:sz w:val="28"/>
          <w:szCs w:val="28"/>
        </w:rPr>
        <w:fldChar w:fldCharType="begin"/>
      </w:r>
      <w:r>
        <w:rPr>
          <w:rFonts w:hint="default" w:ascii="Times New Roman" w:hAnsi="Times New Roman" w:eastAsia="仿宋" w:cs="Times New Roman"/>
          <w:b w:val="0"/>
          <w:bCs w:val="0"/>
          <w:i w:val="0"/>
          <w:iCs w:val="0"/>
          <w:sz w:val="28"/>
          <w:szCs w:val="28"/>
        </w:rPr>
        <w:instrText xml:space="preserve"> HYPERLINK \l _Toc28019 </w:instrText>
      </w:r>
      <w:r>
        <w:rPr>
          <w:rFonts w:hint="default" w:ascii="Times New Roman" w:hAnsi="Times New Roman" w:eastAsia="仿宋" w:cs="Times New Roman"/>
          <w:b w:val="0"/>
          <w:bCs w:val="0"/>
          <w:i w:val="0"/>
          <w:iCs w:val="0"/>
          <w:sz w:val="28"/>
          <w:szCs w:val="28"/>
        </w:rPr>
        <w:fldChar w:fldCharType="separate"/>
      </w:r>
      <w:r>
        <w:rPr>
          <w:rFonts w:hint="default" w:ascii="Times New Roman" w:hAnsi="Times New Roman" w:eastAsia="仿宋" w:cs="Times New Roman"/>
          <w:b w:val="0"/>
          <w:bCs w:val="0"/>
          <w:sz w:val="28"/>
          <w:szCs w:val="28"/>
          <w:lang w:val="en-US" w:eastAsia="zh-CN" w:bidi="ar-SA"/>
        </w:rPr>
        <w:t>第一部分 部门概况</w:t>
      </w:r>
      <w:r>
        <w:rPr>
          <w:rFonts w:hint="default" w:ascii="Times New Roman" w:hAnsi="Times New Roman" w:eastAsia="仿宋" w:cs="Times New Roman"/>
          <w:b w:val="0"/>
          <w:bCs w:val="0"/>
          <w:sz w:val="28"/>
          <w:szCs w:val="28"/>
        </w:rPr>
        <w:tab/>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PAGEREF _Toc28019 \h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3</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i w:val="0"/>
          <w:iCs w:val="0"/>
          <w:sz w:val="28"/>
          <w:szCs w:val="28"/>
        </w:rPr>
        <w:fldChar w:fldCharType="end"/>
      </w:r>
    </w:p>
    <w:p>
      <w:pPr>
        <w:pStyle w:val="10"/>
        <w:keepNext w:val="0"/>
        <w:keepLines w:val="0"/>
        <w:pageBreakBefore w:val="0"/>
        <w:widowControl w:val="0"/>
        <w:tabs>
          <w:tab w:val="right" w:leader="dot" w:pos="8730"/>
        </w:tabs>
        <w:kinsoku/>
        <w:wordWrap/>
        <w:overflowPunct/>
        <w:topLinePunct w:val="0"/>
        <w:autoSpaceDE/>
        <w:autoSpaceDN/>
        <w:bidi w:val="0"/>
        <w:adjustRightInd/>
        <w:snapToGrid/>
        <w:spacing w:line="540" w:lineRule="exact"/>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i w:val="0"/>
          <w:iCs w:val="0"/>
          <w:sz w:val="28"/>
          <w:szCs w:val="28"/>
        </w:rPr>
        <w:fldChar w:fldCharType="begin"/>
      </w:r>
      <w:r>
        <w:rPr>
          <w:rFonts w:hint="default" w:ascii="Times New Roman" w:hAnsi="Times New Roman" w:eastAsia="仿宋" w:cs="Times New Roman"/>
          <w:b w:val="0"/>
          <w:bCs w:val="0"/>
          <w:i w:val="0"/>
          <w:iCs w:val="0"/>
          <w:sz w:val="28"/>
          <w:szCs w:val="28"/>
        </w:rPr>
        <w:instrText xml:space="preserve"> HYPERLINK \l _Toc22509 </w:instrText>
      </w:r>
      <w:r>
        <w:rPr>
          <w:rFonts w:hint="default" w:ascii="Times New Roman" w:hAnsi="Times New Roman" w:eastAsia="仿宋" w:cs="Times New Roman"/>
          <w:b w:val="0"/>
          <w:bCs w:val="0"/>
          <w:i w:val="0"/>
          <w:iCs w:val="0"/>
          <w:sz w:val="28"/>
          <w:szCs w:val="28"/>
        </w:rPr>
        <w:fldChar w:fldCharType="separate"/>
      </w:r>
      <w:r>
        <w:rPr>
          <w:rFonts w:hint="default" w:ascii="Times New Roman" w:hAnsi="Times New Roman" w:eastAsia="仿宋" w:cs="Times New Roman"/>
          <w:b w:val="0"/>
          <w:bCs w:val="0"/>
          <w:sz w:val="28"/>
          <w:szCs w:val="28"/>
        </w:rPr>
        <w:t>一、基本职能及主要工作</w:t>
      </w:r>
      <w:r>
        <w:rPr>
          <w:rFonts w:hint="default" w:ascii="Times New Roman" w:hAnsi="Times New Roman" w:eastAsia="仿宋" w:cs="Times New Roman"/>
          <w:b w:val="0"/>
          <w:bCs w:val="0"/>
          <w:sz w:val="28"/>
          <w:szCs w:val="28"/>
        </w:rPr>
        <w:tab/>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PAGEREF _Toc22509 \h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3</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i w:val="0"/>
          <w:iCs w:val="0"/>
          <w:sz w:val="28"/>
          <w:szCs w:val="28"/>
        </w:rPr>
        <w:fldChar w:fldCharType="end"/>
      </w:r>
    </w:p>
    <w:p>
      <w:pPr>
        <w:pStyle w:val="10"/>
        <w:keepNext w:val="0"/>
        <w:keepLines w:val="0"/>
        <w:pageBreakBefore w:val="0"/>
        <w:widowControl w:val="0"/>
        <w:tabs>
          <w:tab w:val="right" w:leader="dot" w:pos="8730"/>
        </w:tabs>
        <w:kinsoku/>
        <w:wordWrap/>
        <w:overflowPunct/>
        <w:topLinePunct w:val="0"/>
        <w:autoSpaceDE/>
        <w:autoSpaceDN/>
        <w:bidi w:val="0"/>
        <w:adjustRightInd/>
        <w:snapToGrid/>
        <w:spacing w:line="540" w:lineRule="exact"/>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i w:val="0"/>
          <w:iCs w:val="0"/>
          <w:sz w:val="28"/>
          <w:szCs w:val="28"/>
        </w:rPr>
        <w:fldChar w:fldCharType="begin"/>
      </w:r>
      <w:r>
        <w:rPr>
          <w:rFonts w:hint="default" w:ascii="Times New Roman" w:hAnsi="Times New Roman" w:eastAsia="仿宋" w:cs="Times New Roman"/>
          <w:b w:val="0"/>
          <w:bCs w:val="0"/>
          <w:i w:val="0"/>
          <w:iCs w:val="0"/>
          <w:sz w:val="28"/>
          <w:szCs w:val="28"/>
        </w:rPr>
        <w:instrText xml:space="preserve"> HYPERLINK \l _Toc17311 </w:instrText>
      </w:r>
      <w:r>
        <w:rPr>
          <w:rFonts w:hint="default" w:ascii="Times New Roman" w:hAnsi="Times New Roman" w:eastAsia="仿宋" w:cs="Times New Roman"/>
          <w:b w:val="0"/>
          <w:bCs w:val="0"/>
          <w:i w:val="0"/>
          <w:iCs w:val="0"/>
          <w:sz w:val="28"/>
          <w:szCs w:val="28"/>
        </w:rPr>
        <w:fldChar w:fldCharType="separate"/>
      </w:r>
      <w:r>
        <w:rPr>
          <w:rFonts w:hint="default" w:ascii="Times New Roman" w:hAnsi="Times New Roman" w:eastAsia="仿宋" w:cs="Times New Roman"/>
          <w:b w:val="0"/>
          <w:bCs w:val="0"/>
          <w:sz w:val="28"/>
          <w:szCs w:val="28"/>
        </w:rPr>
        <w:t>二、机构设置</w:t>
      </w:r>
      <w:r>
        <w:rPr>
          <w:rFonts w:hint="default" w:ascii="Times New Roman" w:hAnsi="Times New Roman" w:eastAsia="仿宋" w:cs="Times New Roman"/>
          <w:b w:val="0"/>
          <w:bCs w:val="0"/>
          <w:sz w:val="28"/>
          <w:szCs w:val="28"/>
        </w:rPr>
        <w:tab/>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PAGEREF _Toc17311 \h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5</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i w:val="0"/>
          <w:iCs w:val="0"/>
          <w:sz w:val="28"/>
          <w:szCs w:val="28"/>
        </w:rPr>
        <w:fldChar w:fldCharType="end"/>
      </w:r>
    </w:p>
    <w:p>
      <w:pPr>
        <w:pStyle w:val="9"/>
        <w:keepNext w:val="0"/>
        <w:keepLines w:val="0"/>
        <w:pageBreakBefore w:val="0"/>
        <w:widowControl w:val="0"/>
        <w:tabs>
          <w:tab w:val="right" w:leader="dot" w:pos="8730"/>
          <w:tab w:val="clear" w:pos="8306"/>
        </w:tabs>
        <w:kinsoku/>
        <w:wordWrap/>
        <w:overflowPunct/>
        <w:topLinePunct w:val="0"/>
        <w:autoSpaceDE/>
        <w:autoSpaceDN/>
        <w:bidi w:val="0"/>
        <w:adjustRightInd/>
        <w:snapToGrid/>
        <w:spacing w:line="540" w:lineRule="exact"/>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i w:val="0"/>
          <w:iCs w:val="0"/>
          <w:sz w:val="28"/>
          <w:szCs w:val="28"/>
        </w:rPr>
        <w:fldChar w:fldCharType="begin"/>
      </w:r>
      <w:r>
        <w:rPr>
          <w:rFonts w:hint="default" w:ascii="Times New Roman" w:hAnsi="Times New Roman" w:eastAsia="仿宋" w:cs="Times New Roman"/>
          <w:b w:val="0"/>
          <w:bCs w:val="0"/>
          <w:i w:val="0"/>
          <w:iCs w:val="0"/>
          <w:sz w:val="28"/>
          <w:szCs w:val="28"/>
        </w:rPr>
        <w:instrText xml:space="preserve"> HYPERLINK \l _Toc29853 </w:instrText>
      </w:r>
      <w:r>
        <w:rPr>
          <w:rFonts w:hint="default" w:ascii="Times New Roman" w:hAnsi="Times New Roman" w:eastAsia="仿宋" w:cs="Times New Roman"/>
          <w:b w:val="0"/>
          <w:bCs w:val="0"/>
          <w:i w:val="0"/>
          <w:iCs w:val="0"/>
          <w:sz w:val="28"/>
          <w:szCs w:val="28"/>
        </w:rPr>
        <w:fldChar w:fldCharType="separate"/>
      </w:r>
      <w:r>
        <w:rPr>
          <w:rFonts w:hint="default" w:ascii="Times New Roman" w:hAnsi="Times New Roman" w:eastAsia="仿宋" w:cs="Times New Roman"/>
          <w:b w:val="0"/>
          <w:bCs w:val="0"/>
          <w:sz w:val="28"/>
          <w:szCs w:val="28"/>
        </w:rPr>
        <w:t>第二部分 202</w:t>
      </w:r>
      <w:r>
        <w:rPr>
          <w:rFonts w:hint="default" w:ascii="Times New Roman" w:hAnsi="Times New Roman" w:eastAsia="仿宋" w:cs="Times New Roman"/>
          <w:b w:val="0"/>
          <w:bCs w:val="0"/>
          <w:sz w:val="28"/>
          <w:szCs w:val="28"/>
          <w:lang w:val="en-US" w:eastAsia="zh-CN"/>
        </w:rPr>
        <w:t>1</w:t>
      </w:r>
      <w:r>
        <w:rPr>
          <w:rFonts w:hint="default" w:ascii="Times New Roman" w:hAnsi="Times New Roman" w:eastAsia="仿宋" w:cs="Times New Roman"/>
          <w:b w:val="0"/>
          <w:bCs w:val="0"/>
          <w:sz w:val="28"/>
          <w:szCs w:val="28"/>
        </w:rPr>
        <w:t>年度部门决算情况说明</w:t>
      </w:r>
      <w:r>
        <w:rPr>
          <w:rFonts w:hint="default" w:ascii="Times New Roman" w:hAnsi="Times New Roman" w:eastAsia="仿宋" w:cs="Times New Roman"/>
          <w:b w:val="0"/>
          <w:bCs w:val="0"/>
          <w:sz w:val="28"/>
          <w:szCs w:val="28"/>
        </w:rPr>
        <w:tab/>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PAGEREF _Toc29853 \h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6</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i w:val="0"/>
          <w:iCs w:val="0"/>
          <w:sz w:val="28"/>
          <w:szCs w:val="28"/>
        </w:rPr>
        <w:fldChar w:fldCharType="end"/>
      </w:r>
    </w:p>
    <w:p>
      <w:pPr>
        <w:pStyle w:val="10"/>
        <w:keepNext w:val="0"/>
        <w:keepLines w:val="0"/>
        <w:pageBreakBefore w:val="0"/>
        <w:widowControl w:val="0"/>
        <w:tabs>
          <w:tab w:val="right" w:leader="dot" w:pos="8730"/>
        </w:tabs>
        <w:kinsoku/>
        <w:wordWrap/>
        <w:overflowPunct/>
        <w:topLinePunct w:val="0"/>
        <w:autoSpaceDE/>
        <w:autoSpaceDN/>
        <w:bidi w:val="0"/>
        <w:adjustRightInd/>
        <w:snapToGrid/>
        <w:spacing w:line="540" w:lineRule="exact"/>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i w:val="0"/>
          <w:iCs w:val="0"/>
          <w:sz w:val="28"/>
          <w:szCs w:val="28"/>
        </w:rPr>
        <w:fldChar w:fldCharType="begin"/>
      </w:r>
      <w:r>
        <w:rPr>
          <w:rFonts w:hint="default" w:ascii="Times New Roman" w:hAnsi="Times New Roman" w:eastAsia="仿宋" w:cs="Times New Roman"/>
          <w:b w:val="0"/>
          <w:bCs w:val="0"/>
          <w:i w:val="0"/>
          <w:iCs w:val="0"/>
          <w:sz w:val="28"/>
          <w:szCs w:val="28"/>
        </w:rPr>
        <w:instrText xml:space="preserve"> HYPERLINK \l _Toc25876 </w:instrText>
      </w:r>
      <w:r>
        <w:rPr>
          <w:rFonts w:hint="default" w:ascii="Times New Roman" w:hAnsi="Times New Roman" w:eastAsia="仿宋" w:cs="Times New Roman"/>
          <w:b w:val="0"/>
          <w:bCs w:val="0"/>
          <w:i w:val="0"/>
          <w:iCs w:val="0"/>
          <w:sz w:val="28"/>
          <w:szCs w:val="28"/>
        </w:rPr>
        <w:fldChar w:fldCharType="separate"/>
      </w:r>
      <w:r>
        <w:rPr>
          <w:rFonts w:hint="default" w:ascii="Times New Roman" w:hAnsi="Times New Roman" w:eastAsia="仿宋" w:cs="Times New Roman"/>
          <w:b w:val="0"/>
          <w:bCs w:val="0"/>
          <w:sz w:val="28"/>
          <w:szCs w:val="28"/>
        </w:rPr>
        <w:t>一、收入支出决算总体情况说明</w:t>
      </w:r>
      <w:r>
        <w:rPr>
          <w:rFonts w:hint="default" w:ascii="Times New Roman" w:hAnsi="Times New Roman" w:eastAsia="仿宋" w:cs="Times New Roman"/>
          <w:b w:val="0"/>
          <w:bCs w:val="0"/>
          <w:sz w:val="28"/>
          <w:szCs w:val="28"/>
        </w:rPr>
        <w:tab/>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PAGEREF _Toc25876 \h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6</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i w:val="0"/>
          <w:iCs w:val="0"/>
          <w:sz w:val="28"/>
          <w:szCs w:val="28"/>
        </w:rPr>
        <w:fldChar w:fldCharType="end"/>
      </w:r>
    </w:p>
    <w:p>
      <w:pPr>
        <w:pStyle w:val="10"/>
        <w:keepNext w:val="0"/>
        <w:keepLines w:val="0"/>
        <w:pageBreakBefore w:val="0"/>
        <w:widowControl w:val="0"/>
        <w:tabs>
          <w:tab w:val="right" w:leader="dot" w:pos="8730"/>
        </w:tabs>
        <w:kinsoku/>
        <w:wordWrap/>
        <w:overflowPunct/>
        <w:topLinePunct w:val="0"/>
        <w:autoSpaceDE/>
        <w:autoSpaceDN/>
        <w:bidi w:val="0"/>
        <w:adjustRightInd/>
        <w:snapToGrid/>
        <w:spacing w:line="540" w:lineRule="exact"/>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i w:val="0"/>
          <w:iCs w:val="0"/>
          <w:sz w:val="28"/>
          <w:szCs w:val="28"/>
        </w:rPr>
        <w:fldChar w:fldCharType="begin"/>
      </w:r>
      <w:r>
        <w:rPr>
          <w:rFonts w:hint="default" w:ascii="Times New Roman" w:hAnsi="Times New Roman" w:eastAsia="仿宋" w:cs="Times New Roman"/>
          <w:b w:val="0"/>
          <w:bCs w:val="0"/>
          <w:i w:val="0"/>
          <w:iCs w:val="0"/>
          <w:sz w:val="28"/>
          <w:szCs w:val="28"/>
        </w:rPr>
        <w:instrText xml:space="preserve"> HYPERLINK \l _Toc10822 </w:instrText>
      </w:r>
      <w:r>
        <w:rPr>
          <w:rFonts w:hint="default" w:ascii="Times New Roman" w:hAnsi="Times New Roman" w:eastAsia="仿宋" w:cs="Times New Roman"/>
          <w:b w:val="0"/>
          <w:bCs w:val="0"/>
          <w:i w:val="0"/>
          <w:iCs w:val="0"/>
          <w:sz w:val="28"/>
          <w:szCs w:val="28"/>
        </w:rPr>
        <w:fldChar w:fldCharType="separate"/>
      </w:r>
      <w:r>
        <w:rPr>
          <w:rFonts w:hint="default" w:ascii="Times New Roman" w:hAnsi="Times New Roman" w:eastAsia="仿宋" w:cs="Times New Roman"/>
          <w:b w:val="0"/>
          <w:bCs w:val="0"/>
          <w:sz w:val="28"/>
          <w:szCs w:val="28"/>
        </w:rPr>
        <w:t>二、收入决算情况说明</w:t>
      </w:r>
      <w:r>
        <w:rPr>
          <w:rFonts w:hint="default" w:ascii="Times New Roman" w:hAnsi="Times New Roman" w:eastAsia="仿宋" w:cs="Times New Roman"/>
          <w:b w:val="0"/>
          <w:bCs w:val="0"/>
          <w:sz w:val="28"/>
          <w:szCs w:val="28"/>
        </w:rPr>
        <w:tab/>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PAGEREF _Toc10822 \h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6</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i w:val="0"/>
          <w:iCs w:val="0"/>
          <w:sz w:val="28"/>
          <w:szCs w:val="28"/>
        </w:rPr>
        <w:fldChar w:fldCharType="end"/>
      </w:r>
    </w:p>
    <w:p>
      <w:pPr>
        <w:pStyle w:val="10"/>
        <w:keepNext w:val="0"/>
        <w:keepLines w:val="0"/>
        <w:pageBreakBefore w:val="0"/>
        <w:widowControl w:val="0"/>
        <w:tabs>
          <w:tab w:val="right" w:leader="dot" w:pos="8730"/>
        </w:tabs>
        <w:kinsoku/>
        <w:wordWrap/>
        <w:overflowPunct/>
        <w:topLinePunct w:val="0"/>
        <w:autoSpaceDE/>
        <w:autoSpaceDN/>
        <w:bidi w:val="0"/>
        <w:adjustRightInd/>
        <w:snapToGrid/>
        <w:spacing w:line="540" w:lineRule="exact"/>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i w:val="0"/>
          <w:iCs w:val="0"/>
          <w:sz w:val="28"/>
          <w:szCs w:val="28"/>
        </w:rPr>
        <w:fldChar w:fldCharType="begin"/>
      </w:r>
      <w:r>
        <w:rPr>
          <w:rFonts w:hint="default" w:ascii="Times New Roman" w:hAnsi="Times New Roman" w:eastAsia="仿宋" w:cs="Times New Roman"/>
          <w:b w:val="0"/>
          <w:bCs w:val="0"/>
          <w:i w:val="0"/>
          <w:iCs w:val="0"/>
          <w:sz w:val="28"/>
          <w:szCs w:val="28"/>
        </w:rPr>
        <w:instrText xml:space="preserve"> HYPERLINK \l _Toc29729 </w:instrText>
      </w:r>
      <w:r>
        <w:rPr>
          <w:rFonts w:hint="default" w:ascii="Times New Roman" w:hAnsi="Times New Roman" w:eastAsia="仿宋" w:cs="Times New Roman"/>
          <w:b w:val="0"/>
          <w:bCs w:val="0"/>
          <w:i w:val="0"/>
          <w:iCs w:val="0"/>
          <w:sz w:val="28"/>
          <w:szCs w:val="28"/>
        </w:rPr>
        <w:fldChar w:fldCharType="separate"/>
      </w:r>
      <w:r>
        <w:rPr>
          <w:rFonts w:hint="default" w:ascii="Times New Roman" w:hAnsi="Times New Roman" w:eastAsia="仿宋" w:cs="Times New Roman"/>
          <w:b w:val="0"/>
          <w:bCs w:val="0"/>
          <w:sz w:val="28"/>
          <w:szCs w:val="28"/>
        </w:rPr>
        <w:t>三、支出决算情况说明</w:t>
      </w:r>
      <w:r>
        <w:rPr>
          <w:rFonts w:hint="default" w:ascii="Times New Roman" w:hAnsi="Times New Roman" w:eastAsia="仿宋" w:cs="Times New Roman"/>
          <w:b w:val="0"/>
          <w:bCs w:val="0"/>
          <w:sz w:val="28"/>
          <w:szCs w:val="28"/>
        </w:rPr>
        <w:tab/>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PAGEREF _Toc29729 \h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7</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i w:val="0"/>
          <w:iCs w:val="0"/>
          <w:sz w:val="28"/>
          <w:szCs w:val="28"/>
        </w:rPr>
        <w:fldChar w:fldCharType="end"/>
      </w:r>
    </w:p>
    <w:p>
      <w:pPr>
        <w:pStyle w:val="10"/>
        <w:keepNext w:val="0"/>
        <w:keepLines w:val="0"/>
        <w:pageBreakBefore w:val="0"/>
        <w:widowControl w:val="0"/>
        <w:tabs>
          <w:tab w:val="right" w:leader="dot" w:pos="8730"/>
        </w:tabs>
        <w:kinsoku/>
        <w:wordWrap/>
        <w:overflowPunct/>
        <w:topLinePunct w:val="0"/>
        <w:autoSpaceDE/>
        <w:autoSpaceDN/>
        <w:bidi w:val="0"/>
        <w:adjustRightInd/>
        <w:snapToGrid/>
        <w:spacing w:line="540" w:lineRule="exact"/>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i w:val="0"/>
          <w:iCs w:val="0"/>
          <w:sz w:val="28"/>
          <w:szCs w:val="28"/>
        </w:rPr>
        <w:fldChar w:fldCharType="begin"/>
      </w:r>
      <w:r>
        <w:rPr>
          <w:rFonts w:hint="default" w:ascii="Times New Roman" w:hAnsi="Times New Roman" w:eastAsia="仿宋" w:cs="Times New Roman"/>
          <w:b w:val="0"/>
          <w:bCs w:val="0"/>
          <w:i w:val="0"/>
          <w:iCs w:val="0"/>
          <w:sz w:val="28"/>
          <w:szCs w:val="28"/>
        </w:rPr>
        <w:instrText xml:space="preserve"> HYPERLINK \l _Toc29362 </w:instrText>
      </w:r>
      <w:r>
        <w:rPr>
          <w:rFonts w:hint="default" w:ascii="Times New Roman" w:hAnsi="Times New Roman" w:eastAsia="仿宋" w:cs="Times New Roman"/>
          <w:b w:val="0"/>
          <w:bCs w:val="0"/>
          <w:i w:val="0"/>
          <w:iCs w:val="0"/>
          <w:sz w:val="28"/>
          <w:szCs w:val="28"/>
        </w:rPr>
        <w:fldChar w:fldCharType="separate"/>
      </w:r>
      <w:r>
        <w:rPr>
          <w:rFonts w:hint="default" w:ascii="Times New Roman" w:hAnsi="Times New Roman" w:eastAsia="仿宋" w:cs="Times New Roman"/>
          <w:b w:val="0"/>
          <w:bCs w:val="0"/>
          <w:sz w:val="28"/>
          <w:szCs w:val="28"/>
        </w:rPr>
        <w:t>四、财政拨款收入支出决算总体情况说明</w:t>
      </w:r>
      <w:r>
        <w:rPr>
          <w:rFonts w:hint="default" w:ascii="Times New Roman" w:hAnsi="Times New Roman" w:eastAsia="仿宋" w:cs="Times New Roman"/>
          <w:b w:val="0"/>
          <w:bCs w:val="0"/>
          <w:sz w:val="28"/>
          <w:szCs w:val="28"/>
        </w:rPr>
        <w:tab/>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PAGEREF _Toc29362 \h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7</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i w:val="0"/>
          <w:iCs w:val="0"/>
          <w:sz w:val="28"/>
          <w:szCs w:val="28"/>
        </w:rPr>
        <w:fldChar w:fldCharType="end"/>
      </w:r>
    </w:p>
    <w:p>
      <w:pPr>
        <w:pStyle w:val="10"/>
        <w:keepNext w:val="0"/>
        <w:keepLines w:val="0"/>
        <w:pageBreakBefore w:val="0"/>
        <w:widowControl w:val="0"/>
        <w:tabs>
          <w:tab w:val="right" w:leader="dot" w:pos="8730"/>
        </w:tabs>
        <w:kinsoku/>
        <w:wordWrap/>
        <w:overflowPunct/>
        <w:topLinePunct w:val="0"/>
        <w:autoSpaceDE/>
        <w:autoSpaceDN/>
        <w:bidi w:val="0"/>
        <w:adjustRightInd/>
        <w:snapToGrid/>
        <w:spacing w:line="540" w:lineRule="exact"/>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i w:val="0"/>
          <w:iCs w:val="0"/>
          <w:sz w:val="28"/>
          <w:szCs w:val="28"/>
        </w:rPr>
        <w:fldChar w:fldCharType="begin"/>
      </w:r>
      <w:r>
        <w:rPr>
          <w:rFonts w:hint="default" w:ascii="Times New Roman" w:hAnsi="Times New Roman" w:eastAsia="仿宋" w:cs="Times New Roman"/>
          <w:b w:val="0"/>
          <w:bCs w:val="0"/>
          <w:i w:val="0"/>
          <w:iCs w:val="0"/>
          <w:sz w:val="28"/>
          <w:szCs w:val="28"/>
        </w:rPr>
        <w:instrText xml:space="preserve"> HYPERLINK \l _Toc10568 </w:instrText>
      </w:r>
      <w:r>
        <w:rPr>
          <w:rFonts w:hint="default" w:ascii="Times New Roman" w:hAnsi="Times New Roman" w:eastAsia="仿宋" w:cs="Times New Roman"/>
          <w:b w:val="0"/>
          <w:bCs w:val="0"/>
          <w:i w:val="0"/>
          <w:iCs w:val="0"/>
          <w:sz w:val="28"/>
          <w:szCs w:val="28"/>
        </w:rPr>
        <w:fldChar w:fldCharType="separate"/>
      </w:r>
      <w:r>
        <w:rPr>
          <w:rFonts w:hint="default" w:ascii="Times New Roman" w:hAnsi="Times New Roman" w:eastAsia="仿宋" w:cs="Times New Roman"/>
          <w:b w:val="0"/>
          <w:bCs w:val="0"/>
          <w:sz w:val="28"/>
          <w:szCs w:val="28"/>
        </w:rPr>
        <w:t>五、一般公共预算财政拨款支出决算情况说明</w:t>
      </w:r>
      <w:r>
        <w:rPr>
          <w:rFonts w:hint="default" w:ascii="Times New Roman" w:hAnsi="Times New Roman" w:eastAsia="仿宋" w:cs="Times New Roman"/>
          <w:b w:val="0"/>
          <w:bCs w:val="0"/>
          <w:sz w:val="28"/>
          <w:szCs w:val="28"/>
        </w:rPr>
        <w:tab/>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PAGEREF _Toc10568 \h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8</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i w:val="0"/>
          <w:iCs w:val="0"/>
          <w:sz w:val="28"/>
          <w:szCs w:val="28"/>
        </w:rPr>
        <w:fldChar w:fldCharType="end"/>
      </w:r>
    </w:p>
    <w:p>
      <w:pPr>
        <w:pStyle w:val="10"/>
        <w:keepNext w:val="0"/>
        <w:keepLines w:val="0"/>
        <w:pageBreakBefore w:val="0"/>
        <w:widowControl w:val="0"/>
        <w:tabs>
          <w:tab w:val="right" w:leader="dot" w:pos="8730"/>
        </w:tabs>
        <w:kinsoku/>
        <w:wordWrap/>
        <w:overflowPunct/>
        <w:topLinePunct w:val="0"/>
        <w:autoSpaceDE/>
        <w:autoSpaceDN/>
        <w:bidi w:val="0"/>
        <w:adjustRightInd/>
        <w:snapToGrid/>
        <w:spacing w:line="540" w:lineRule="exact"/>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i w:val="0"/>
          <w:iCs w:val="0"/>
          <w:sz w:val="28"/>
          <w:szCs w:val="28"/>
        </w:rPr>
        <w:fldChar w:fldCharType="begin"/>
      </w:r>
      <w:r>
        <w:rPr>
          <w:rFonts w:hint="default" w:ascii="Times New Roman" w:hAnsi="Times New Roman" w:eastAsia="仿宋" w:cs="Times New Roman"/>
          <w:b w:val="0"/>
          <w:bCs w:val="0"/>
          <w:i w:val="0"/>
          <w:iCs w:val="0"/>
          <w:sz w:val="28"/>
          <w:szCs w:val="28"/>
        </w:rPr>
        <w:instrText xml:space="preserve"> HYPERLINK \l _Toc23190 </w:instrText>
      </w:r>
      <w:r>
        <w:rPr>
          <w:rFonts w:hint="default" w:ascii="Times New Roman" w:hAnsi="Times New Roman" w:eastAsia="仿宋" w:cs="Times New Roman"/>
          <w:b w:val="0"/>
          <w:bCs w:val="0"/>
          <w:i w:val="0"/>
          <w:iCs w:val="0"/>
          <w:sz w:val="28"/>
          <w:szCs w:val="28"/>
        </w:rPr>
        <w:fldChar w:fldCharType="separate"/>
      </w:r>
      <w:r>
        <w:rPr>
          <w:rFonts w:hint="default" w:ascii="Times New Roman" w:hAnsi="Times New Roman" w:eastAsia="仿宋" w:cs="Times New Roman"/>
          <w:b w:val="0"/>
          <w:bCs w:val="0"/>
          <w:sz w:val="28"/>
          <w:szCs w:val="28"/>
        </w:rPr>
        <w:t>六、一般公共预算财政拨款基本支出决算情况说明</w:t>
      </w:r>
      <w:r>
        <w:rPr>
          <w:rFonts w:hint="default" w:ascii="Times New Roman" w:hAnsi="Times New Roman" w:eastAsia="仿宋" w:cs="Times New Roman"/>
          <w:b w:val="0"/>
          <w:bCs w:val="0"/>
          <w:sz w:val="28"/>
          <w:szCs w:val="28"/>
        </w:rPr>
        <w:tab/>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PAGEREF _Toc23190 \h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11</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i w:val="0"/>
          <w:iCs w:val="0"/>
          <w:sz w:val="28"/>
          <w:szCs w:val="28"/>
        </w:rPr>
        <w:fldChar w:fldCharType="end"/>
      </w:r>
    </w:p>
    <w:p>
      <w:pPr>
        <w:pStyle w:val="10"/>
        <w:keepNext w:val="0"/>
        <w:keepLines w:val="0"/>
        <w:pageBreakBefore w:val="0"/>
        <w:widowControl w:val="0"/>
        <w:tabs>
          <w:tab w:val="right" w:leader="dot" w:pos="8730"/>
        </w:tabs>
        <w:kinsoku/>
        <w:wordWrap/>
        <w:overflowPunct/>
        <w:topLinePunct w:val="0"/>
        <w:autoSpaceDE/>
        <w:autoSpaceDN/>
        <w:bidi w:val="0"/>
        <w:adjustRightInd/>
        <w:snapToGrid/>
        <w:spacing w:line="540" w:lineRule="exact"/>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i w:val="0"/>
          <w:iCs w:val="0"/>
          <w:sz w:val="28"/>
          <w:szCs w:val="28"/>
        </w:rPr>
        <w:fldChar w:fldCharType="begin"/>
      </w:r>
      <w:r>
        <w:rPr>
          <w:rFonts w:hint="default" w:ascii="Times New Roman" w:hAnsi="Times New Roman" w:eastAsia="仿宋" w:cs="Times New Roman"/>
          <w:b w:val="0"/>
          <w:bCs w:val="0"/>
          <w:i w:val="0"/>
          <w:iCs w:val="0"/>
          <w:sz w:val="28"/>
          <w:szCs w:val="28"/>
        </w:rPr>
        <w:instrText xml:space="preserve"> HYPERLINK \l _Toc17321 </w:instrText>
      </w:r>
      <w:r>
        <w:rPr>
          <w:rFonts w:hint="default" w:ascii="Times New Roman" w:hAnsi="Times New Roman" w:eastAsia="仿宋" w:cs="Times New Roman"/>
          <w:b w:val="0"/>
          <w:bCs w:val="0"/>
          <w:i w:val="0"/>
          <w:iCs w:val="0"/>
          <w:sz w:val="28"/>
          <w:szCs w:val="28"/>
        </w:rPr>
        <w:fldChar w:fldCharType="separate"/>
      </w:r>
      <w:r>
        <w:rPr>
          <w:rFonts w:hint="default" w:ascii="Times New Roman" w:hAnsi="Times New Roman" w:eastAsia="仿宋" w:cs="Times New Roman"/>
          <w:b w:val="0"/>
          <w:bCs w:val="0"/>
          <w:sz w:val="28"/>
          <w:szCs w:val="28"/>
        </w:rPr>
        <w:t>七、“三公”经费财政拨款支出决算情况说明</w:t>
      </w:r>
      <w:r>
        <w:rPr>
          <w:rFonts w:hint="default" w:ascii="Times New Roman" w:hAnsi="Times New Roman" w:eastAsia="仿宋" w:cs="Times New Roman"/>
          <w:b w:val="0"/>
          <w:bCs w:val="0"/>
          <w:sz w:val="28"/>
          <w:szCs w:val="28"/>
        </w:rPr>
        <w:tab/>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PAGEREF _Toc17321 \h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12</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i w:val="0"/>
          <w:iCs w:val="0"/>
          <w:sz w:val="28"/>
          <w:szCs w:val="28"/>
        </w:rPr>
        <w:fldChar w:fldCharType="end"/>
      </w:r>
    </w:p>
    <w:p>
      <w:pPr>
        <w:pStyle w:val="10"/>
        <w:keepNext w:val="0"/>
        <w:keepLines w:val="0"/>
        <w:pageBreakBefore w:val="0"/>
        <w:widowControl w:val="0"/>
        <w:tabs>
          <w:tab w:val="right" w:leader="dot" w:pos="8730"/>
        </w:tabs>
        <w:kinsoku/>
        <w:wordWrap/>
        <w:overflowPunct/>
        <w:topLinePunct w:val="0"/>
        <w:autoSpaceDE/>
        <w:autoSpaceDN/>
        <w:bidi w:val="0"/>
        <w:adjustRightInd/>
        <w:snapToGrid/>
        <w:spacing w:line="540" w:lineRule="exact"/>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i w:val="0"/>
          <w:iCs w:val="0"/>
          <w:sz w:val="28"/>
          <w:szCs w:val="28"/>
        </w:rPr>
        <w:fldChar w:fldCharType="begin"/>
      </w:r>
      <w:r>
        <w:rPr>
          <w:rFonts w:hint="default" w:ascii="Times New Roman" w:hAnsi="Times New Roman" w:eastAsia="仿宋" w:cs="Times New Roman"/>
          <w:b w:val="0"/>
          <w:bCs w:val="0"/>
          <w:i w:val="0"/>
          <w:iCs w:val="0"/>
          <w:sz w:val="28"/>
          <w:szCs w:val="28"/>
        </w:rPr>
        <w:instrText xml:space="preserve"> HYPERLINK \l _Toc23786 </w:instrText>
      </w:r>
      <w:r>
        <w:rPr>
          <w:rFonts w:hint="default" w:ascii="Times New Roman" w:hAnsi="Times New Roman" w:eastAsia="仿宋" w:cs="Times New Roman"/>
          <w:b w:val="0"/>
          <w:bCs w:val="0"/>
          <w:i w:val="0"/>
          <w:iCs w:val="0"/>
          <w:sz w:val="28"/>
          <w:szCs w:val="28"/>
        </w:rPr>
        <w:fldChar w:fldCharType="separate"/>
      </w:r>
      <w:r>
        <w:rPr>
          <w:rFonts w:hint="default" w:ascii="Times New Roman" w:hAnsi="Times New Roman" w:eastAsia="仿宋" w:cs="Times New Roman"/>
          <w:b w:val="0"/>
          <w:bCs w:val="0"/>
          <w:sz w:val="28"/>
          <w:szCs w:val="28"/>
        </w:rPr>
        <w:t>八、政府性基金预算支出决算情况说明</w:t>
      </w:r>
      <w:r>
        <w:rPr>
          <w:rFonts w:hint="default" w:ascii="Times New Roman" w:hAnsi="Times New Roman" w:eastAsia="仿宋" w:cs="Times New Roman"/>
          <w:b w:val="0"/>
          <w:bCs w:val="0"/>
          <w:sz w:val="28"/>
          <w:szCs w:val="28"/>
        </w:rPr>
        <w:tab/>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PAGEREF _Toc23786 \h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15</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i w:val="0"/>
          <w:iCs w:val="0"/>
          <w:sz w:val="28"/>
          <w:szCs w:val="28"/>
        </w:rPr>
        <w:fldChar w:fldCharType="end"/>
      </w:r>
    </w:p>
    <w:p>
      <w:pPr>
        <w:pStyle w:val="10"/>
        <w:keepNext w:val="0"/>
        <w:keepLines w:val="0"/>
        <w:pageBreakBefore w:val="0"/>
        <w:widowControl w:val="0"/>
        <w:tabs>
          <w:tab w:val="right" w:leader="dot" w:pos="8730"/>
        </w:tabs>
        <w:kinsoku/>
        <w:wordWrap/>
        <w:overflowPunct/>
        <w:topLinePunct w:val="0"/>
        <w:autoSpaceDE/>
        <w:autoSpaceDN/>
        <w:bidi w:val="0"/>
        <w:adjustRightInd/>
        <w:snapToGrid/>
        <w:spacing w:line="540" w:lineRule="exact"/>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i w:val="0"/>
          <w:iCs w:val="0"/>
          <w:sz w:val="28"/>
          <w:szCs w:val="28"/>
        </w:rPr>
        <w:fldChar w:fldCharType="begin"/>
      </w:r>
      <w:r>
        <w:rPr>
          <w:rFonts w:hint="default" w:ascii="Times New Roman" w:hAnsi="Times New Roman" w:eastAsia="仿宋" w:cs="Times New Roman"/>
          <w:b w:val="0"/>
          <w:bCs w:val="0"/>
          <w:i w:val="0"/>
          <w:iCs w:val="0"/>
          <w:sz w:val="28"/>
          <w:szCs w:val="28"/>
        </w:rPr>
        <w:instrText xml:space="preserve"> HYPERLINK \l _Toc29029 </w:instrText>
      </w:r>
      <w:r>
        <w:rPr>
          <w:rFonts w:hint="default" w:ascii="Times New Roman" w:hAnsi="Times New Roman" w:eastAsia="仿宋" w:cs="Times New Roman"/>
          <w:b w:val="0"/>
          <w:bCs w:val="0"/>
          <w:i w:val="0"/>
          <w:iCs w:val="0"/>
          <w:sz w:val="28"/>
          <w:szCs w:val="28"/>
        </w:rPr>
        <w:fldChar w:fldCharType="separate"/>
      </w:r>
      <w:r>
        <w:rPr>
          <w:rFonts w:hint="default" w:ascii="Times New Roman" w:hAnsi="Times New Roman" w:eastAsia="仿宋" w:cs="Times New Roman"/>
          <w:b w:val="0"/>
          <w:bCs w:val="0"/>
          <w:sz w:val="28"/>
          <w:szCs w:val="28"/>
        </w:rPr>
        <w:t>九、 国有资本经营预算支出决算情况说明</w:t>
      </w:r>
      <w:r>
        <w:rPr>
          <w:rFonts w:hint="default" w:ascii="Times New Roman" w:hAnsi="Times New Roman" w:eastAsia="仿宋" w:cs="Times New Roman"/>
          <w:b w:val="0"/>
          <w:bCs w:val="0"/>
          <w:sz w:val="28"/>
          <w:szCs w:val="28"/>
        </w:rPr>
        <w:tab/>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PAGEREF _Toc29029 \h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15</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i w:val="0"/>
          <w:iCs w:val="0"/>
          <w:sz w:val="28"/>
          <w:szCs w:val="28"/>
        </w:rPr>
        <w:fldChar w:fldCharType="end"/>
      </w:r>
    </w:p>
    <w:p>
      <w:pPr>
        <w:pStyle w:val="10"/>
        <w:keepNext w:val="0"/>
        <w:keepLines w:val="0"/>
        <w:pageBreakBefore w:val="0"/>
        <w:widowControl w:val="0"/>
        <w:tabs>
          <w:tab w:val="right" w:leader="dot" w:pos="8730"/>
        </w:tabs>
        <w:kinsoku/>
        <w:wordWrap/>
        <w:overflowPunct/>
        <w:topLinePunct w:val="0"/>
        <w:autoSpaceDE/>
        <w:autoSpaceDN/>
        <w:bidi w:val="0"/>
        <w:adjustRightInd/>
        <w:snapToGrid/>
        <w:spacing w:line="540" w:lineRule="exact"/>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i w:val="0"/>
          <w:iCs w:val="0"/>
          <w:sz w:val="28"/>
          <w:szCs w:val="28"/>
        </w:rPr>
        <w:fldChar w:fldCharType="begin"/>
      </w:r>
      <w:r>
        <w:rPr>
          <w:rFonts w:hint="default" w:ascii="Times New Roman" w:hAnsi="Times New Roman" w:eastAsia="仿宋" w:cs="Times New Roman"/>
          <w:b w:val="0"/>
          <w:bCs w:val="0"/>
          <w:i w:val="0"/>
          <w:iCs w:val="0"/>
          <w:sz w:val="28"/>
          <w:szCs w:val="28"/>
        </w:rPr>
        <w:instrText xml:space="preserve"> HYPERLINK \l _Toc14893 </w:instrText>
      </w:r>
      <w:r>
        <w:rPr>
          <w:rFonts w:hint="default" w:ascii="Times New Roman" w:hAnsi="Times New Roman" w:eastAsia="仿宋" w:cs="Times New Roman"/>
          <w:b w:val="0"/>
          <w:bCs w:val="0"/>
          <w:i w:val="0"/>
          <w:iCs w:val="0"/>
          <w:sz w:val="28"/>
          <w:szCs w:val="28"/>
        </w:rPr>
        <w:fldChar w:fldCharType="separate"/>
      </w:r>
      <w:r>
        <w:rPr>
          <w:rFonts w:hint="default" w:ascii="Times New Roman" w:hAnsi="Times New Roman" w:eastAsia="仿宋" w:cs="Times New Roman"/>
          <w:b w:val="0"/>
          <w:bCs w:val="0"/>
          <w:sz w:val="28"/>
          <w:szCs w:val="28"/>
          <w:highlight w:val="none"/>
        </w:rPr>
        <w:t>十、其他重要事项的情况说明</w:t>
      </w:r>
      <w:r>
        <w:rPr>
          <w:rFonts w:hint="default" w:ascii="Times New Roman" w:hAnsi="Times New Roman" w:eastAsia="仿宋" w:cs="Times New Roman"/>
          <w:b w:val="0"/>
          <w:bCs w:val="0"/>
          <w:sz w:val="28"/>
          <w:szCs w:val="28"/>
        </w:rPr>
        <w:tab/>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PAGEREF _Toc14893 \h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15</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i w:val="0"/>
          <w:iCs w:val="0"/>
          <w:sz w:val="28"/>
          <w:szCs w:val="28"/>
        </w:rPr>
        <w:fldChar w:fldCharType="end"/>
      </w:r>
    </w:p>
    <w:p>
      <w:pPr>
        <w:pStyle w:val="9"/>
        <w:keepNext w:val="0"/>
        <w:keepLines w:val="0"/>
        <w:pageBreakBefore w:val="0"/>
        <w:widowControl w:val="0"/>
        <w:tabs>
          <w:tab w:val="right" w:leader="dot" w:pos="8730"/>
          <w:tab w:val="clear" w:pos="8306"/>
        </w:tabs>
        <w:kinsoku/>
        <w:wordWrap/>
        <w:overflowPunct/>
        <w:topLinePunct w:val="0"/>
        <w:autoSpaceDE/>
        <w:autoSpaceDN/>
        <w:bidi w:val="0"/>
        <w:adjustRightInd/>
        <w:snapToGrid/>
        <w:spacing w:line="540" w:lineRule="exact"/>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i w:val="0"/>
          <w:iCs w:val="0"/>
          <w:sz w:val="28"/>
          <w:szCs w:val="28"/>
        </w:rPr>
        <w:fldChar w:fldCharType="begin"/>
      </w:r>
      <w:r>
        <w:rPr>
          <w:rFonts w:hint="default" w:ascii="Times New Roman" w:hAnsi="Times New Roman" w:eastAsia="仿宋" w:cs="Times New Roman"/>
          <w:b w:val="0"/>
          <w:bCs w:val="0"/>
          <w:i w:val="0"/>
          <w:iCs w:val="0"/>
          <w:sz w:val="28"/>
          <w:szCs w:val="28"/>
        </w:rPr>
        <w:instrText xml:space="preserve"> HYPERLINK \l _Toc6236 </w:instrText>
      </w:r>
      <w:r>
        <w:rPr>
          <w:rFonts w:hint="default" w:ascii="Times New Roman" w:hAnsi="Times New Roman" w:eastAsia="仿宋" w:cs="Times New Roman"/>
          <w:b w:val="0"/>
          <w:bCs w:val="0"/>
          <w:i w:val="0"/>
          <w:iCs w:val="0"/>
          <w:sz w:val="28"/>
          <w:szCs w:val="28"/>
        </w:rPr>
        <w:fldChar w:fldCharType="separate"/>
      </w:r>
      <w:r>
        <w:rPr>
          <w:rFonts w:hint="default" w:ascii="Times New Roman" w:hAnsi="Times New Roman" w:eastAsia="仿宋" w:cs="Times New Roman"/>
          <w:b w:val="0"/>
          <w:bCs w:val="0"/>
          <w:sz w:val="28"/>
          <w:szCs w:val="28"/>
        </w:rPr>
        <w:t>第三部分 名词解释</w:t>
      </w:r>
      <w:r>
        <w:rPr>
          <w:rFonts w:hint="default" w:ascii="Times New Roman" w:hAnsi="Times New Roman" w:eastAsia="仿宋" w:cs="Times New Roman"/>
          <w:b w:val="0"/>
          <w:bCs w:val="0"/>
          <w:sz w:val="28"/>
          <w:szCs w:val="28"/>
        </w:rPr>
        <w:tab/>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PAGEREF _Toc6236 \h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17</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i w:val="0"/>
          <w:iCs w:val="0"/>
          <w:sz w:val="28"/>
          <w:szCs w:val="28"/>
        </w:rPr>
        <w:fldChar w:fldCharType="end"/>
      </w:r>
    </w:p>
    <w:p>
      <w:pPr>
        <w:pStyle w:val="9"/>
        <w:keepNext w:val="0"/>
        <w:keepLines w:val="0"/>
        <w:pageBreakBefore w:val="0"/>
        <w:widowControl w:val="0"/>
        <w:tabs>
          <w:tab w:val="right" w:leader="dot" w:pos="8730"/>
          <w:tab w:val="clear" w:pos="8306"/>
        </w:tabs>
        <w:kinsoku/>
        <w:wordWrap/>
        <w:overflowPunct/>
        <w:topLinePunct w:val="0"/>
        <w:autoSpaceDE/>
        <w:autoSpaceDN/>
        <w:bidi w:val="0"/>
        <w:adjustRightInd/>
        <w:snapToGrid/>
        <w:spacing w:line="540" w:lineRule="exact"/>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i w:val="0"/>
          <w:iCs w:val="0"/>
          <w:sz w:val="28"/>
          <w:szCs w:val="28"/>
        </w:rPr>
        <w:fldChar w:fldCharType="begin"/>
      </w:r>
      <w:r>
        <w:rPr>
          <w:rFonts w:hint="default" w:ascii="Times New Roman" w:hAnsi="Times New Roman" w:eastAsia="仿宋" w:cs="Times New Roman"/>
          <w:b w:val="0"/>
          <w:bCs w:val="0"/>
          <w:i w:val="0"/>
          <w:iCs w:val="0"/>
          <w:sz w:val="28"/>
          <w:szCs w:val="28"/>
        </w:rPr>
        <w:instrText xml:space="preserve"> HYPERLINK \l _Toc12976 </w:instrText>
      </w:r>
      <w:r>
        <w:rPr>
          <w:rFonts w:hint="default" w:ascii="Times New Roman" w:hAnsi="Times New Roman" w:eastAsia="仿宋" w:cs="Times New Roman"/>
          <w:b w:val="0"/>
          <w:bCs w:val="0"/>
          <w:i w:val="0"/>
          <w:iCs w:val="0"/>
          <w:sz w:val="28"/>
          <w:szCs w:val="28"/>
        </w:rPr>
        <w:fldChar w:fldCharType="separate"/>
      </w:r>
      <w:r>
        <w:rPr>
          <w:rFonts w:hint="default" w:ascii="Times New Roman" w:hAnsi="Times New Roman" w:eastAsia="仿宋" w:cs="Times New Roman"/>
          <w:b w:val="0"/>
          <w:bCs w:val="0"/>
          <w:sz w:val="28"/>
          <w:szCs w:val="28"/>
        </w:rPr>
        <w:t>第四部分 附件</w:t>
      </w:r>
      <w:r>
        <w:rPr>
          <w:rFonts w:hint="default" w:ascii="Times New Roman" w:hAnsi="Times New Roman" w:eastAsia="仿宋" w:cs="Times New Roman"/>
          <w:b w:val="0"/>
          <w:bCs w:val="0"/>
          <w:sz w:val="28"/>
          <w:szCs w:val="28"/>
        </w:rPr>
        <w:tab/>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PAGEREF _Toc12976 \h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20</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i w:val="0"/>
          <w:iCs w:val="0"/>
          <w:sz w:val="28"/>
          <w:szCs w:val="28"/>
        </w:rPr>
        <w:fldChar w:fldCharType="end"/>
      </w:r>
    </w:p>
    <w:p>
      <w:pPr>
        <w:pStyle w:val="10"/>
        <w:keepNext w:val="0"/>
        <w:keepLines w:val="0"/>
        <w:pageBreakBefore w:val="0"/>
        <w:widowControl w:val="0"/>
        <w:tabs>
          <w:tab w:val="right" w:leader="dot" w:pos="8730"/>
        </w:tabs>
        <w:kinsoku/>
        <w:wordWrap/>
        <w:overflowPunct/>
        <w:topLinePunct w:val="0"/>
        <w:autoSpaceDE/>
        <w:autoSpaceDN/>
        <w:bidi w:val="0"/>
        <w:adjustRightInd/>
        <w:snapToGrid/>
        <w:spacing w:line="540" w:lineRule="exact"/>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i w:val="0"/>
          <w:iCs w:val="0"/>
          <w:sz w:val="28"/>
          <w:szCs w:val="28"/>
        </w:rPr>
        <w:fldChar w:fldCharType="begin"/>
      </w:r>
      <w:r>
        <w:rPr>
          <w:rFonts w:hint="default" w:ascii="Times New Roman" w:hAnsi="Times New Roman" w:eastAsia="仿宋" w:cs="Times New Roman"/>
          <w:b w:val="0"/>
          <w:bCs w:val="0"/>
          <w:i w:val="0"/>
          <w:iCs w:val="0"/>
          <w:sz w:val="28"/>
          <w:szCs w:val="28"/>
        </w:rPr>
        <w:instrText xml:space="preserve"> HYPERLINK \l _Toc27071 </w:instrText>
      </w:r>
      <w:r>
        <w:rPr>
          <w:rFonts w:hint="default" w:ascii="Times New Roman" w:hAnsi="Times New Roman" w:eastAsia="仿宋" w:cs="Times New Roman"/>
          <w:b w:val="0"/>
          <w:bCs w:val="0"/>
          <w:i w:val="0"/>
          <w:iCs w:val="0"/>
          <w:sz w:val="28"/>
          <w:szCs w:val="28"/>
        </w:rPr>
        <w:fldChar w:fldCharType="separate"/>
      </w:r>
      <w:r>
        <w:rPr>
          <w:rFonts w:hint="default" w:ascii="Times New Roman" w:hAnsi="Times New Roman" w:eastAsia="仿宋" w:cs="Times New Roman"/>
          <w:b w:val="0"/>
          <w:bCs w:val="0"/>
          <w:sz w:val="28"/>
          <w:szCs w:val="28"/>
        </w:rPr>
        <w:t>附件1</w:t>
      </w:r>
      <w:r>
        <w:rPr>
          <w:rFonts w:hint="default" w:ascii="Times New Roman" w:hAnsi="Times New Roman" w:eastAsia="仿宋" w:cs="Times New Roman"/>
          <w:b w:val="0"/>
          <w:bCs w:val="0"/>
          <w:sz w:val="28"/>
          <w:szCs w:val="28"/>
        </w:rPr>
        <w:tab/>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PAGEREF _Toc27071 \h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20</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i w:val="0"/>
          <w:iCs w:val="0"/>
          <w:sz w:val="28"/>
          <w:szCs w:val="28"/>
        </w:rPr>
        <w:fldChar w:fldCharType="end"/>
      </w:r>
    </w:p>
    <w:p>
      <w:pPr>
        <w:pStyle w:val="10"/>
        <w:keepNext w:val="0"/>
        <w:keepLines w:val="0"/>
        <w:pageBreakBefore w:val="0"/>
        <w:widowControl w:val="0"/>
        <w:tabs>
          <w:tab w:val="right" w:leader="dot" w:pos="8730"/>
        </w:tabs>
        <w:kinsoku/>
        <w:wordWrap/>
        <w:overflowPunct/>
        <w:topLinePunct w:val="0"/>
        <w:autoSpaceDE/>
        <w:autoSpaceDN/>
        <w:bidi w:val="0"/>
        <w:adjustRightInd/>
        <w:snapToGrid/>
        <w:spacing w:line="540" w:lineRule="exact"/>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i w:val="0"/>
          <w:iCs w:val="0"/>
          <w:sz w:val="28"/>
          <w:szCs w:val="28"/>
        </w:rPr>
        <w:fldChar w:fldCharType="begin"/>
      </w:r>
      <w:r>
        <w:rPr>
          <w:rFonts w:hint="default" w:ascii="Times New Roman" w:hAnsi="Times New Roman" w:eastAsia="仿宋" w:cs="Times New Roman"/>
          <w:b w:val="0"/>
          <w:bCs w:val="0"/>
          <w:i w:val="0"/>
          <w:iCs w:val="0"/>
          <w:sz w:val="28"/>
          <w:szCs w:val="28"/>
        </w:rPr>
        <w:instrText xml:space="preserve"> HYPERLINK \l _Toc1119 </w:instrText>
      </w:r>
      <w:r>
        <w:rPr>
          <w:rFonts w:hint="default" w:ascii="Times New Roman" w:hAnsi="Times New Roman" w:eastAsia="仿宋" w:cs="Times New Roman"/>
          <w:b w:val="0"/>
          <w:bCs w:val="0"/>
          <w:i w:val="0"/>
          <w:iCs w:val="0"/>
          <w:sz w:val="28"/>
          <w:szCs w:val="28"/>
        </w:rPr>
        <w:fldChar w:fldCharType="separate"/>
      </w:r>
      <w:r>
        <w:rPr>
          <w:rFonts w:hint="default" w:ascii="Times New Roman" w:hAnsi="Times New Roman" w:eastAsia="仿宋" w:cs="Times New Roman"/>
          <w:b w:val="0"/>
          <w:bCs w:val="0"/>
          <w:sz w:val="28"/>
          <w:szCs w:val="28"/>
        </w:rPr>
        <w:t>附件2</w:t>
      </w:r>
      <w:r>
        <w:rPr>
          <w:rFonts w:hint="default" w:ascii="Times New Roman" w:hAnsi="Times New Roman" w:eastAsia="仿宋" w:cs="Times New Roman"/>
          <w:b w:val="0"/>
          <w:bCs w:val="0"/>
          <w:sz w:val="28"/>
          <w:szCs w:val="28"/>
        </w:rPr>
        <w:tab/>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PAGEREF _Toc1119 \h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25</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i w:val="0"/>
          <w:iCs w:val="0"/>
          <w:sz w:val="28"/>
          <w:szCs w:val="28"/>
        </w:rPr>
        <w:fldChar w:fldCharType="end"/>
      </w:r>
    </w:p>
    <w:p>
      <w:pPr>
        <w:pStyle w:val="9"/>
        <w:keepNext w:val="0"/>
        <w:keepLines w:val="0"/>
        <w:pageBreakBefore w:val="0"/>
        <w:widowControl w:val="0"/>
        <w:tabs>
          <w:tab w:val="right" w:leader="dot" w:pos="8730"/>
          <w:tab w:val="clear" w:pos="8306"/>
        </w:tabs>
        <w:kinsoku/>
        <w:wordWrap/>
        <w:overflowPunct/>
        <w:topLinePunct w:val="0"/>
        <w:autoSpaceDE/>
        <w:autoSpaceDN/>
        <w:bidi w:val="0"/>
        <w:adjustRightInd/>
        <w:snapToGrid/>
        <w:spacing w:line="540" w:lineRule="exact"/>
        <w:ind w:firstLine="280" w:firstLineChars="100"/>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i w:val="0"/>
          <w:iCs w:val="0"/>
          <w:sz w:val="28"/>
          <w:szCs w:val="28"/>
        </w:rPr>
        <w:fldChar w:fldCharType="begin"/>
      </w:r>
      <w:r>
        <w:rPr>
          <w:rFonts w:hint="default" w:ascii="Times New Roman" w:hAnsi="Times New Roman" w:eastAsia="仿宋" w:cs="Times New Roman"/>
          <w:b w:val="0"/>
          <w:bCs w:val="0"/>
          <w:i w:val="0"/>
          <w:iCs w:val="0"/>
          <w:sz w:val="28"/>
          <w:szCs w:val="28"/>
        </w:rPr>
        <w:instrText xml:space="preserve"> HYPERLINK \l _Toc16201 </w:instrText>
      </w:r>
      <w:r>
        <w:rPr>
          <w:rFonts w:hint="default" w:ascii="Times New Roman" w:hAnsi="Times New Roman" w:eastAsia="仿宋" w:cs="Times New Roman"/>
          <w:b w:val="0"/>
          <w:bCs w:val="0"/>
          <w:i w:val="0"/>
          <w:iCs w:val="0"/>
          <w:sz w:val="28"/>
          <w:szCs w:val="28"/>
        </w:rPr>
        <w:fldChar w:fldCharType="separate"/>
      </w:r>
      <w:r>
        <w:rPr>
          <w:rFonts w:hint="default" w:ascii="Times New Roman" w:hAnsi="Times New Roman" w:eastAsia="仿宋" w:cs="Times New Roman"/>
          <w:b w:val="0"/>
          <w:bCs w:val="0"/>
          <w:kern w:val="2"/>
          <w:sz w:val="28"/>
          <w:szCs w:val="28"/>
          <w:lang w:val="en-US" w:eastAsia="zh-CN" w:bidi="ar"/>
        </w:rPr>
        <w:t>附件3</w:t>
      </w:r>
      <w:r>
        <w:rPr>
          <w:rFonts w:hint="default" w:ascii="Times New Roman" w:hAnsi="Times New Roman" w:eastAsia="仿宋" w:cs="Times New Roman"/>
          <w:b w:val="0"/>
          <w:bCs w:val="0"/>
          <w:sz w:val="28"/>
          <w:szCs w:val="28"/>
        </w:rPr>
        <w:tab/>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PAGEREF _Toc16201 \h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29</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i w:val="0"/>
          <w:iCs w:val="0"/>
          <w:sz w:val="28"/>
          <w:szCs w:val="28"/>
        </w:rPr>
        <w:fldChar w:fldCharType="end"/>
      </w:r>
    </w:p>
    <w:p>
      <w:pPr>
        <w:pStyle w:val="9"/>
        <w:keepNext w:val="0"/>
        <w:keepLines w:val="0"/>
        <w:pageBreakBefore w:val="0"/>
        <w:widowControl w:val="0"/>
        <w:tabs>
          <w:tab w:val="right" w:leader="dot" w:pos="8730"/>
          <w:tab w:val="clear" w:pos="8306"/>
        </w:tabs>
        <w:kinsoku/>
        <w:wordWrap/>
        <w:overflowPunct/>
        <w:topLinePunct w:val="0"/>
        <w:autoSpaceDE/>
        <w:autoSpaceDN/>
        <w:bidi w:val="0"/>
        <w:adjustRightInd/>
        <w:snapToGrid/>
        <w:spacing w:line="540" w:lineRule="exact"/>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i w:val="0"/>
          <w:iCs w:val="0"/>
          <w:sz w:val="28"/>
          <w:szCs w:val="28"/>
        </w:rPr>
        <w:fldChar w:fldCharType="begin"/>
      </w:r>
      <w:r>
        <w:rPr>
          <w:rFonts w:hint="default" w:ascii="Times New Roman" w:hAnsi="Times New Roman" w:eastAsia="仿宋" w:cs="Times New Roman"/>
          <w:b w:val="0"/>
          <w:bCs w:val="0"/>
          <w:i w:val="0"/>
          <w:iCs w:val="0"/>
          <w:sz w:val="28"/>
          <w:szCs w:val="28"/>
        </w:rPr>
        <w:instrText xml:space="preserve"> HYPERLINK \l _Toc20380 </w:instrText>
      </w:r>
      <w:r>
        <w:rPr>
          <w:rFonts w:hint="default" w:ascii="Times New Roman" w:hAnsi="Times New Roman" w:eastAsia="仿宋" w:cs="Times New Roman"/>
          <w:b w:val="0"/>
          <w:bCs w:val="0"/>
          <w:i w:val="0"/>
          <w:iCs w:val="0"/>
          <w:sz w:val="28"/>
          <w:szCs w:val="28"/>
        </w:rPr>
        <w:fldChar w:fldCharType="separate"/>
      </w:r>
      <w:r>
        <w:rPr>
          <w:rFonts w:hint="default" w:ascii="Times New Roman" w:hAnsi="Times New Roman" w:eastAsia="仿宋" w:cs="Times New Roman"/>
          <w:b w:val="0"/>
          <w:bCs w:val="0"/>
          <w:sz w:val="28"/>
          <w:szCs w:val="28"/>
        </w:rPr>
        <w:t>第五部分 附表</w:t>
      </w:r>
      <w:r>
        <w:rPr>
          <w:rFonts w:hint="default" w:ascii="Times New Roman" w:hAnsi="Times New Roman" w:eastAsia="仿宋" w:cs="Times New Roman"/>
          <w:b w:val="0"/>
          <w:bCs w:val="0"/>
          <w:sz w:val="28"/>
          <w:szCs w:val="28"/>
        </w:rPr>
        <w:tab/>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PAGEREF _Toc20380 \h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34</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i w:val="0"/>
          <w:iCs w:val="0"/>
          <w:sz w:val="28"/>
          <w:szCs w:val="28"/>
        </w:rPr>
        <w:fldChar w:fldCharType="end"/>
      </w:r>
    </w:p>
    <w:p>
      <w:pPr>
        <w:pStyle w:val="10"/>
        <w:keepNext w:val="0"/>
        <w:keepLines w:val="0"/>
        <w:pageBreakBefore w:val="0"/>
        <w:widowControl w:val="0"/>
        <w:tabs>
          <w:tab w:val="right" w:leader="dot" w:pos="8730"/>
        </w:tabs>
        <w:kinsoku/>
        <w:wordWrap/>
        <w:overflowPunct/>
        <w:topLinePunct w:val="0"/>
        <w:autoSpaceDE/>
        <w:autoSpaceDN/>
        <w:bidi w:val="0"/>
        <w:adjustRightInd/>
        <w:snapToGrid/>
        <w:spacing w:line="540" w:lineRule="exact"/>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i w:val="0"/>
          <w:iCs w:val="0"/>
          <w:sz w:val="28"/>
          <w:szCs w:val="28"/>
        </w:rPr>
        <w:fldChar w:fldCharType="begin"/>
      </w:r>
      <w:r>
        <w:rPr>
          <w:rFonts w:hint="default" w:ascii="Times New Roman" w:hAnsi="Times New Roman" w:eastAsia="仿宋" w:cs="Times New Roman"/>
          <w:b w:val="0"/>
          <w:bCs w:val="0"/>
          <w:i w:val="0"/>
          <w:iCs w:val="0"/>
          <w:sz w:val="28"/>
          <w:szCs w:val="28"/>
        </w:rPr>
        <w:instrText xml:space="preserve"> HYPERLINK \l _Toc30491 </w:instrText>
      </w:r>
      <w:r>
        <w:rPr>
          <w:rFonts w:hint="default" w:ascii="Times New Roman" w:hAnsi="Times New Roman" w:eastAsia="仿宋" w:cs="Times New Roman"/>
          <w:b w:val="0"/>
          <w:bCs w:val="0"/>
          <w:i w:val="0"/>
          <w:iCs w:val="0"/>
          <w:sz w:val="28"/>
          <w:szCs w:val="28"/>
        </w:rPr>
        <w:fldChar w:fldCharType="separate"/>
      </w:r>
      <w:r>
        <w:rPr>
          <w:rFonts w:hint="default" w:ascii="Times New Roman" w:hAnsi="Times New Roman" w:eastAsia="仿宋" w:cs="Times New Roman"/>
          <w:b w:val="0"/>
          <w:bCs w:val="0"/>
          <w:sz w:val="28"/>
          <w:szCs w:val="28"/>
          <w:highlight w:val="none"/>
        </w:rPr>
        <w:t>一、收入支出决算总表</w:t>
      </w:r>
      <w:r>
        <w:rPr>
          <w:rFonts w:hint="default" w:ascii="Times New Roman" w:hAnsi="Times New Roman" w:eastAsia="仿宋" w:cs="Times New Roman"/>
          <w:b w:val="0"/>
          <w:bCs w:val="0"/>
          <w:sz w:val="28"/>
          <w:szCs w:val="28"/>
        </w:rPr>
        <w:tab/>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PAGEREF _Toc30491 \h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34</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i w:val="0"/>
          <w:iCs w:val="0"/>
          <w:sz w:val="28"/>
          <w:szCs w:val="28"/>
        </w:rPr>
        <w:fldChar w:fldCharType="end"/>
      </w:r>
    </w:p>
    <w:p>
      <w:pPr>
        <w:pStyle w:val="10"/>
        <w:keepNext w:val="0"/>
        <w:keepLines w:val="0"/>
        <w:pageBreakBefore w:val="0"/>
        <w:widowControl w:val="0"/>
        <w:tabs>
          <w:tab w:val="right" w:leader="dot" w:pos="8730"/>
        </w:tabs>
        <w:kinsoku/>
        <w:wordWrap/>
        <w:overflowPunct/>
        <w:topLinePunct w:val="0"/>
        <w:autoSpaceDE/>
        <w:autoSpaceDN/>
        <w:bidi w:val="0"/>
        <w:adjustRightInd/>
        <w:snapToGrid/>
        <w:spacing w:line="540" w:lineRule="exact"/>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i w:val="0"/>
          <w:iCs w:val="0"/>
          <w:sz w:val="28"/>
          <w:szCs w:val="28"/>
        </w:rPr>
        <w:fldChar w:fldCharType="begin"/>
      </w:r>
      <w:r>
        <w:rPr>
          <w:rFonts w:hint="default" w:ascii="Times New Roman" w:hAnsi="Times New Roman" w:eastAsia="仿宋" w:cs="Times New Roman"/>
          <w:b w:val="0"/>
          <w:bCs w:val="0"/>
          <w:i w:val="0"/>
          <w:iCs w:val="0"/>
          <w:sz w:val="28"/>
          <w:szCs w:val="28"/>
        </w:rPr>
        <w:instrText xml:space="preserve"> HYPERLINK \l _Toc25641 </w:instrText>
      </w:r>
      <w:r>
        <w:rPr>
          <w:rFonts w:hint="default" w:ascii="Times New Roman" w:hAnsi="Times New Roman" w:eastAsia="仿宋" w:cs="Times New Roman"/>
          <w:b w:val="0"/>
          <w:bCs w:val="0"/>
          <w:i w:val="0"/>
          <w:iCs w:val="0"/>
          <w:sz w:val="28"/>
          <w:szCs w:val="28"/>
        </w:rPr>
        <w:fldChar w:fldCharType="separate"/>
      </w:r>
      <w:r>
        <w:rPr>
          <w:rFonts w:hint="default" w:ascii="Times New Roman" w:hAnsi="Times New Roman" w:eastAsia="仿宋" w:cs="Times New Roman"/>
          <w:b w:val="0"/>
          <w:bCs w:val="0"/>
          <w:sz w:val="28"/>
          <w:szCs w:val="28"/>
          <w:highlight w:val="none"/>
        </w:rPr>
        <w:t>二、收入决算表</w:t>
      </w:r>
      <w:r>
        <w:rPr>
          <w:rFonts w:hint="default" w:ascii="Times New Roman" w:hAnsi="Times New Roman" w:eastAsia="仿宋" w:cs="Times New Roman"/>
          <w:b w:val="0"/>
          <w:bCs w:val="0"/>
          <w:sz w:val="28"/>
          <w:szCs w:val="28"/>
        </w:rPr>
        <w:tab/>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PAGEREF _Toc25641 \h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34</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i w:val="0"/>
          <w:iCs w:val="0"/>
          <w:sz w:val="28"/>
          <w:szCs w:val="28"/>
        </w:rPr>
        <w:fldChar w:fldCharType="end"/>
      </w:r>
    </w:p>
    <w:p>
      <w:pPr>
        <w:pStyle w:val="10"/>
        <w:keepNext w:val="0"/>
        <w:keepLines w:val="0"/>
        <w:pageBreakBefore w:val="0"/>
        <w:widowControl w:val="0"/>
        <w:tabs>
          <w:tab w:val="right" w:leader="dot" w:pos="8730"/>
        </w:tabs>
        <w:kinsoku/>
        <w:wordWrap/>
        <w:overflowPunct/>
        <w:topLinePunct w:val="0"/>
        <w:autoSpaceDE/>
        <w:autoSpaceDN/>
        <w:bidi w:val="0"/>
        <w:adjustRightInd/>
        <w:snapToGrid/>
        <w:spacing w:line="540" w:lineRule="exact"/>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i w:val="0"/>
          <w:iCs w:val="0"/>
          <w:sz w:val="28"/>
          <w:szCs w:val="28"/>
        </w:rPr>
        <w:fldChar w:fldCharType="begin"/>
      </w:r>
      <w:r>
        <w:rPr>
          <w:rFonts w:hint="default" w:ascii="Times New Roman" w:hAnsi="Times New Roman" w:eastAsia="仿宋" w:cs="Times New Roman"/>
          <w:b w:val="0"/>
          <w:bCs w:val="0"/>
          <w:i w:val="0"/>
          <w:iCs w:val="0"/>
          <w:sz w:val="28"/>
          <w:szCs w:val="28"/>
        </w:rPr>
        <w:instrText xml:space="preserve"> HYPERLINK \l _Toc27530 </w:instrText>
      </w:r>
      <w:r>
        <w:rPr>
          <w:rFonts w:hint="default" w:ascii="Times New Roman" w:hAnsi="Times New Roman" w:eastAsia="仿宋" w:cs="Times New Roman"/>
          <w:b w:val="0"/>
          <w:bCs w:val="0"/>
          <w:i w:val="0"/>
          <w:iCs w:val="0"/>
          <w:sz w:val="28"/>
          <w:szCs w:val="28"/>
        </w:rPr>
        <w:fldChar w:fldCharType="separate"/>
      </w:r>
      <w:r>
        <w:rPr>
          <w:rFonts w:hint="default" w:ascii="Times New Roman" w:hAnsi="Times New Roman" w:eastAsia="仿宋" w:cs="Times New Roman"/>
          <w:b w:val="0"/>
          <w:bCs w:val="0"/>
          <w:sz w:val="28"/>
          <w:szCs w:val="28"/>
          <w:highlight w:val="none"/>
        </w:rPr>
        <w:t>三、支出决算表</w:t>
      </w:r>
      <w:r>
        <w:rPr>
          <w:rFonts w:hint="default" w:ascii="Times New Roman" w:hAnsi="Times New Roman" w:eastAsia="仿宋" w:cs="Times New Roman"/>
          <w:b w:val="0"/>
          <w:bCs w:val="0"/>
          <w:sz w:val="28"/>
          <w:szCs w:val="28"/>
        </w:rPr>
        <w:tab/>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PAGEREF _Toc27530 \h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34</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i w:val="0"/>
          <w:iCs w:val="0"/>
          <w:sz w:val="28"/>
          <w:szCs w:val="28"/>
        </w:rPr>
        <w:fldChar w:fldCharType="end"/>
      </w:r>
    </w:p>
    <w:p>
      <w:pPr>
        <w:pStyle w:val="10"/>
        <w:keepNext w:val="0"/>
        <w:keepLines w:val="0"/>
        <w:pageBreakBefore w:val="0"/>
        <w:widowControl w:val="0"/>
        <w:tabs>
          <w:tab w:val="right" w:leader="dot" w:pos="8730"/>
        </w:tabs>
        <w:kinsoku/>
        <w:wordWrap/>
        <w:overflowPunct/>
        <w:topLinePunct w:val="0"/>
        <w:autoSpaceDE/>
        <w:autoSpaceDN/>
        <w:bidi w:val="0"/>
        <w:adjustRightInd/>
        <w:snapToGrid/>
        <w:spacing w:line="540" w:lineRule="exact"/>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i w:val="0"/>
          <w:iCs w:val="0"/>
          <w:sz w:val="28"/>
          <w:szCs w:val="28"/>
        </w:rPr>
        <w:fldChar w:fldCharType="begin"/>
      </w:r>
      <w:r>
        <w:rPr>
          <w:rFonts w:hint="default" w:ascii="Times New Roman" w:hAnsi="Times New Roman" w:eastAsia="仿宋" w:cs="Times New Roman"/>
          <w:b w:val="0"/>
          <w:bCs w:val="0"/>
          <w:i w:val="0"/>
          <w:iCs w:val="0"/>
          <w:sz w:val="28"/>
          <w:szCs w:val="28"/>
        </w:rPr>
        <w:instrText xml:space="preserve"> HYPERLINK \l _Toc15930 </w:instrText>
      </w:r>
      <w:r>
        <w:rPr>
          <w:rFonts w:hint="default" w:ascii="Times New Roman" w:hAnsi="Times New Roman" w:eastAsia="仿宋" w:cs="Times New Roman"/>
          <w:b w:val="0"/>
          <w:bCs w:val="0"/>
          <w:i w:val="0"/>
          <w:iCs w:val="0"/>
          <w:sz w:val="28"/>
          <w:szCs w:val="28"/>
        </w:rPr>
        <w:fldChar w:fldCharType="separate"/>
      </w:r>
      <w:r>
        <w:rPr>
          <w:rFonts w:hint="default" w:ascii="Times New Roman" w:hAnsi="Times New Roman" w:eastAsia="仿宋" w:cs="Times New Roman"/>
          <w:b w:val="0"/>
          <w:bCs w:val="0"/>
          <w:sz w:val="28"/>
          <w:szCs w:val="28"/>
          <w:highlight w:val="none"/>
        </w:rPr>
        <w:t>四、财政拨款收入支出决算总表</w:t>
      </w:r>
      <w:r>
        <w:rPr>
          <w:rFonts w:hint="default" w:ascii="Times New Roman" w:hAnsi="Times New Roman" w:eastAsia="仿宋" w:cs="Times New Roman"/>
          <w:b w:val="0"/>
          <w:bCs w:val="0"/>
          <w:sz w:val="28"/>
          <w:szCs w:val="28"/>
        </w:rPr>
        <w:tab/>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PAGEREF _Toc15930 \h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34</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i w:val="0"/>
          <w:iCs w:val="0"/>
          <w:sz w:val="28"/>
          <w:szCs w:val="28"/>
        </w:rPr>
        <w:fldChar w:fldCharType="end"/>
      </w:r>
    </w:p>
    <w:p>
      <w:pPr>
        <w:pStyle w:val="10"/>
        <w:keepNext w:val="0"/>
        <w:keepLines w:val="0"/>
        <w:pageBreakBefore w:val="0"/>
        <w:widowControl w:val="0"/>
        <w:tabs>
          <w:tab w:val="right" w:leader="dot" w:pos="8730"/>
        </w:tabs>
        <w:kinsoku/>
        <w:wordWrap/>
        <w:overflowPunct/>
        <w:topLinePunct w:val="0"/>
        <w:autoSpaceDE/>
        <w:autoSpaceDN/>
        <w:bidi w:val="0"/>
        <w:adjustRightInd/>
        <w:snapToGrid/>
        <w:spacing w:line="540" w:lineRule="exact"/>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i w:val="0"/>
          <w:iCs w:val="0"/>
          <w:sz w:val="28"/>
          <w:szCs w:val="28"/>
        </w:rPr>
        <w:fldChar w:fldCharType="begin"/>
      </w:r>
      <w:r>
        <w:rPr>
          <w:rFonts w:hint="default" w:ascii="Times New Roman" w:hAnsi="Times New Roman" w:eastAsia="仿宋" w:cs="Times New Roman"/>
          <w:b w:val="0"/>
          <w:bCs w:val="0"/>
          <w:i w:val="0"/>
          <w:iCs w:val="0"/>
          <w:sz w:val="28"/>
          <w:szCs w:val="28"/>
        </w:rPr>
        <w:instrText xml:space="preserve"> HYPERLINK \l _Toc20071 </w:instrText>
      </w:r>
      <w:r>
        <w:rPr>
          <w:rFonts w:hint="default" w:ascii="Times New Roman" w:hAnsi="Times New Roman" w:eastAsia="仿宋" w:cs="Times New Roman"/>
          <w:b w:val="0"/>
          <w:bCs w:val="0"/>
          <w:i w:val="0"/>
          <w:iCs w:val="0"/>
          <w:sz w:val="28"/>
          <w:szCs w:val="28"/>
        </w:rPr>
        <w:fldChar w:fldCharType="separate"/>
      </w:r>
      <w:r>
        <w:rPr>
          <w:rFonts w:hint="default" w:ascii="Times New Roman" w:hAnsi="Times New Roman" w:eastAsia="仿宋" w:cs="Times New Roman"/>
          <w:b w:val="0"/>
          <w:bCs w:val="0"/>
          <w:sz w:val="28"/>
          <w:szCs w:val="28"/>
          <w:highlight w:val="none"/>
        </w:rPr>
        <w:t>五、财政拨款支出决算明细表</w:t>
      </w:r>
      <w:r>
        <w:rPr>
          <w:rFonts w:hint="default" w:ascii="Times New Roman" w:hAnsi="Times New Roman" w:eastAsia="仿宋" w:cs="Times New Roman"/>
          <w:b w:val="0"/>
          <w:bCs w:val="0"/>
          <w:sz w:val="28"/>
          <w:szCs w:val="28"/>
        </w:rPr>
        <w:tab/>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PAGEREF _Toc20071 \h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34</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i w:val="0"/>
          <w:iCs w:val="0"/>
          <w:sz w:val="28"/>
          <w:szCs w:val="28"/>
        </w:rPr>
        <w:fldChar w:fldCharType="end"/>
      </w:r>
    </w:p>
    <w:p>
      <w:pPr>
        <w:pStyle w:val="10"/>
        <w:keepNext w:val="0"/>
        <w:keepLines w:val="0"/>
        <w:pageBreakBefore w:val="0"/>
        <w:widowControl w:val="0"/>
        <w:tabs>
          <w:tab w:val="right" w:leader="dot" w:pos="8730"/>
        </w:tabs>
        <w:kinsoku/>
        <w:wordWrap/>
        <w:overflowPunct/>
        <w:topLinePunct w:val="0"/>
        <w:autoSpaceDE/>
        <w:autoSpaceDN/>
        <w:bidi w:val="0"/>
        <w:adjustRightInd/>
        <w:snapToGrid/>
        <w:spacing w:line="540" w:lineRule="exact"/>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i w:val="0"/>
          <w:iCs w:val="0"/>
          <w:sz w:val="28"/>
          <w:szCs w:val="28"/>
        </w:rPr>
        <w:fldChar w:fldCharType="begin"/>
      </w:r>
      <w:r>
        <w:rPr>
          <w:rFonts w:hint="default" w:ascii="Times New Roman" w:hAnsi="Times New Roman" w:eastAsia="仿宋" w:cs="Times New Roman"/>
          <w:b w:val="0"/>
          <w:bCs w:val="0"/>
          <w:i w:val="0"/>
          <w:iCs w:val="0"/>
          <w:sz w:val="28"/>
          <w:szCs w:val="28"/>
        </w:rPr>
        <w:instrText xml:space="preserve"> HYPERLINK \l _Toc32024 </w:instrText>
      </w:r>
      <w:r>
        <w:rPr>
          <w:rFonts w:hint="default" w:ascii="Times New Roman" w:hAnsi="Times New Roman" w:eastAsia="仿宋" w:cs="Times New Roman"/>
          <w:b w:val="0"/>
          <w:bCs w:val="0"/>
          <w:i w:val="0"/>
          <w:iCs w:val="0"/>
          <w:sz w:val="28"/>
          <w:szCs w:val="28"/>
        </w:rPr>
        <w:fldChar w:fldCharType="separate"/>
      </w:r>
      <w:r>
        <w:rPr>
          <w:rFonts w:hint="default" w:ascii="Times New Roman" w:hAnsi="Times New Roman" w:eastAsia="仿宋" w:cs="Times New Roman"/>
          <w:b w:val="0"/>
          <w:bCs w:val="0"/>
          <w:sz w:val="28"/>
          <w:szCs w:val="28"/>
          <w:highlight w:val="none"/>
        </w:rPr>
        <w:t>六、一般公共预算财政拨款支出决算表</w:t>
      </w:r>
      <w:r>
        <w:rPr>
          <w:rFonts w:hint="default" w:ascii="Times New Roman" w:hAnsi="Times New Roman" w:eastAsia="仿宋" w:cs="Times New Roman"/>
          <w:b w:val="0"/>
          <w:bCs w:val="0"/>
          <w:sz w:val="28"/>
          <w:szCs w:val="28"/>
        </w:rPr>
        <w:tab/>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PAGEREF _Toc32024 \h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34</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i w:val="0"/>
          <w:iCs w:val="0"/>
          <w:sz w:val="28"/>
          <w:szCs w:val="28"/>
        </w:rPr>
        <w:fldChar w:fldCharType="end"/>
      </w:r>
    </w:p>
    <w:p>
      <w:pPr>
        <w:pStyle w:val="10"/>
        <w:keepNext w:val="0"/>
        <w:keepLines w:val="0"/>
        <w:pageBreakBefore w:val="0"/>
        <w:widowControl w:val="0"/>
        <w:tabs>
          <w:tab w:val="right" w:leader="dot" w:pos="8730"/>
        </w:tabs>
        <w:kinsoku/>
        <w:wordWrap/>
        <w:overflowPunct/>
        <w:topLinePunct w:val="0"/>
        <w:autoSpaceDE/>
        <w:autoSpaceDN/>
        <w:bidi w:val="0"/>
        <w:adjustRightInd/>
        <w:snapToGrid/>
        <w:spacing w:line="540" w:lineRule="exact"/>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i w:val="0"/>
          <w:iCs w:val="0"/>
          <w:sz w:val="28"/>
          <w:szCs w:val="28"/>
        </w:rPr>
        <w:fldChar w:fldCharType="begin"/>
      </w:r>
      <w:r>
        <w:rPr>
          <w:rFonts w:hint="default" w:ascii="Times New Roman" w:hAnsi="Times New Roman" w:eastAsia="仿宋" w:cs="Times New Roman"/>
          <w:b w:val="0"/>
          <w:bCs w:val="0"/>
          <w:i w:val="0"/>
          <w:iCs w:val="0"/>
          <w:sz w:val="28"/>
          <w:szCs w:val="28"/>
        </w:rPr>
        <w:instrText xml:space="preserve"> HYPERLINK \l _Toc11147 </w:instrText>
      </w:r>
      <w:r>
        <w:rPr>
          <w:rFonts w:hint="default" w:ascii="Times New Roman" w:hAnsi="Times New Roman" w:eastAsia="仿宋" w:cs="Times New Roman"/>
          <w:b w:val="0"/>
          <w:bCs w:val="0"/>
          <w:i w:val="0"/>
          <w:iCs w:val="0"/>
          <w:sz w:val="28"/>
          <w:szCs w:val="28"/>
        </w:rPr>
        <w:fldChar w:fldCharType="separate"/>
      </w:r>
      <w:r>
        <w:rPr>
          <w:rFonts w:hint="default" w:ascii="Times New Roman" w:hAnsi="Times New Roman" w:eastAsia="仿宋" w:cs="Times New Roman"/>
          <w:b w:val="0"/>
          <w:bCs w:val="0"/>
          <w:sz w:val="28"/>
          <w:szCs w:val="28"/>
          <w:highlight w:val="none"/>
        </w:rPr>
        <w:t>七、一般公共预算财政拨款支出决算明细表</w:t>
      </w:r>
      <w:r>
        <w:rPr>
          <w:rFonts w:hint="default" w:ascii="Times New Roman" w:hAnsi="Times New Roman" w:eastAsia="仿宋" w:cs="Times New Roman"/>
          <w:b w:val="0"/>
          <w:bCs w:val="0"/>
          <w:sz w:val="28"/>
          <w:szCs w:val="28"/>
        </w:rPr>
        <w:tab/>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PAGEREF _Toc11147 \h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34</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i w:val="0"/>
          <w:iCs w:val="0"/>
          <w:sz w:val="28"/>
          <w:szCs w:val="28"/>
        </w:rPr>
        <w:fldChar w:fldCharType="end"/>
      </w:r>
    </w:p>
    <w:p>
      <w:pPr>
        <w:pStyle w:val="10"/>
        <w:keepNext w:val="0"/>
        <w:keepLines w:val="0"/>
        <w:pageBreakBefore w:val="0"/>
        <w:widowControl w:val="0"/>
        <w:tabs>
          <w:tab w:val="right" w:leader="dot" w:pos="8730"/>
        </w:tabs>
        <w:kinsoku/>
        <w:wordWrap/>
        <w:overflowPunct/>
        <w:topLinePunct w:val="0"/>
        <w:autoSpaceDE/>
        <w:autoSpaceDN/>
        <w:bidi w:val="0"/>
        <w:adjustRightInd/>
        <w:snapToGrid/>
        <w:spacing w:line="540" w:lineRule="exact"/>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i w:val="0"/>
          <w:iCs w:val="0"/>
          <w:sz w:val="28"/>
          <w:szCs w:val="28"/>
        </w:rPr>
        <w:fldChar w:fldCharType="begin"/>
      </w:r>
      <w:r>
        <w:rPr>
          <w:rFonts w:hint="default" w:ascii="Times New Roman" w:hAnsi="Times New Roman" w:eastAsia="仿宋" w:cs="Times New Roman"/>
          <w:b w:val="0"/>
          <w:bCs w:val="0"/>
          <w:i w:val="0"/>
          <w:iCs w:val="0"/>
          <w:sz w:val="28"/>
          <w:szCs w:val="28"/>
        </w:rPr>
        <w:instrText xml:space="preserve"> HYPERLINK \l _Toc10253 </w:instrText>
      </w:r>
      <w:r>
        <w:rPr>
          <w:rFonts w:hint="default" w:ascii="Times New Roman" w:hAnsi="Times New Roman" w:eastAsia="仿宋" w:cs="Times New Roman"/>
          <w:b w:val="0"/>
          <w:bCs w:val="0"/>
          <w:i w:val="0"/>
          <w:iCs w:val="0"/>
          <w:sz w:val="28"/>
          <w:szCs w:val="28"/>
        </w:rPr>
        <w:fldChar w:fldCharType="separate"/>
      </w:r>
      <w:r>
        <w:rPr>
          <w:rFonts w:hint="default" w:ascii="Times New Roman" w:hAnsi="Times New Roman" w:eastAsia="仿宋" w:cs="Times New Roman"/>
          <w:b w:val="0"/>
          <w:bCs w:val="0"/>
          <w:sz w:val="28"/>
          <w:szCs w:val="28"/>
          <w:highlight w:val="none"/>
        </w:rPr>
        <w:t>八、一般公共预算财政拨款基本支出决算表</w:t>
      </w:r>
      <w:r>
        <w:rPr>
          <w:rFonts w:hint="default" w:ascii="Times New Roman" w:hAnsi="Times New Roman" w:eastAsia="仿宋" w:cs="Times New Roman"/>
          <w:b w:val="0"/>
          <w:bCs w:val="0"/>
          <w:sz w:val="28"/>
          <w:szCs w:val="28"/>
        </w:rPr>
        <w:tab/>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PAGEREF _Toc10253 \h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34</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i w:val="0"/>
          <w:iCs w:val="0"/>
          <w:sz w:val="28"/>
          <w:szCs w:val="28"/>
        </w:rPr>
        <w:fldChar w:fldCharType="end"/>
      </w:r>
    </w:p>
    <w:p>
      <w:pPr>
        <w:pStyle w:val="10"/>
        <w:keepNext w:val="0"/>
        <w:keepLines w:val="0"/>
        <w:pageBreakBefore w:val="0"/>
        <w:widowControl w:val="0"/>
        <w:tabs>
          <w:tab w:val="right" w:leader="dot" w:pos="8730"/>
        </w:tabs>
        <w:kinsoku/>
        <w:wordWrap/>
        <w:overflowPunct/>
        <w:topLinePunct w:val="0"/>
        <w:autoSpaceDE/>
        <w:autoSpaceDN/>
        <w:bidi w:val="0"/>
        <w:adjustRightInd/>
        <w:snapToGrid/>
        <w:spacing w:line="540" w:lineRule="exact"/>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i w:val="0"/>
          <w:iCs w:val="0"/>
          <w:sz w:val="28"/>
          <w:szCs w:val="28"/>
        </w:rPr>
        <w:fldChar w:fldCharType="begin"/>
      </w:r>
      <w:r>
        <w:rPr>
          <w:rFonts w:hint="default" w:ascii="Times New Roman" w:hAnsi="Times New Roman" w:eastAsia="仿宋" w:cs="Times New Roman"/>
          <w:b w:val="0"/>
          <w:bCs w:val="0"/>
          <w:i w:val="0"/>
          <w:iCs w:val="0"/>
          <w:sz w:val="28"/>
          <w:szCs w:val="28"/>
        </w:rPr>
        <w:instrText xml:space="preserve"> HYPERLINK \l _Toc13480 </w:instrText>
      </w:r>
      <w:r>
        <w:rPr>
          <w:rFonts w:hint="default" w:ascii="Times New Roman" w:hAnsi="Times New Roman" w:eastAsia="仿宋" w:cs="Times New Roman"/>
          <w:b w:val="0"/>
          <w:bCs w:val="0"/>
          <w:i w:val="0"/>
          <w:iCs w:val="0"/>
          <w:sz w:val="28"/>
          <w:szCs w:val="28"/>
        </w:rPr>
        <w:fldChar w:fldCharType="separate"/>
      </w:r>
      <w:r>
        <w:rPr>
          <w:rFonts w:hint="default" w:ascii="Times New Roman" w:hAnsi="Times New Roman" w:eastAsia="仿宋" w:cs="Times New Roman"/>
          <w:b w:val="0"/>
          <w:bCs w:val="0"/>
          <w:sz w:val="28"/>
          <w:szCs w:val="28"/>
          <w:highlight w:val="none"/>
        </w:rPr>
        <w:t>九、一般公共预算财政拨款项目支出决算表</w:t>
      </w:r>
      <w:r>
        <w:rPr>
          <w:rFonts w:hint="default" w:ascii="Times New Roman" w:hAnsi="Times New Roman" w:eastAsia="仿宋" w:cs="Times New Roman"/>
          <w:b w:val="0"/>
          <w:bCs w:val="0"/>
          <w:sz w:val="28"/>
          <w:szCs w:val="28"/>
        </w:rPr>
        <w:tab/>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PAGEREF _Toc13480 \h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34</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i w:val="0"/>
          <w:iCs w:val="0"/>
          <w:sz w:val="28"/>
          <w:szCs w:val="28"/>
        </w:rPr>
        <w:fldChar w:fldCharType="end"/>
      </w:r>
    </w:p>
    <w:p>
      <w:pPr>
        <w:pStyle w:val="10"/>
        <w:keepNext w:val="0"/>
        <w:keepLines w:val="0"/>
        <w:pageBreakBefore w:val="0"/>
        <w:widowControl w:val="0"/>
        <w:tabs>
          <w:tab w:val="right" w:leader="dot" w:pos="8730"/>
        </w:tabs>
        <w:kinsoku/>
        <w:wordWrap/>
        <w:overflowPunct/>
        <w:topLinePunct w:val="0"/>
        <w:autoSpaceDE/>
        <w:autoSpaceDN/>
        <w:bidi w:val="0"/>
        <w:adjustRightInd/>
        <w:snapToGrid/>
        <w:spacing w:line="540" w:lineRule="exact"/>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i w:val="0"/>
          <w:iCs w:val="0"/>
          <w:sz w:val="28"/>
          <w:szCs w:val="28"/>
        </w:rPr>
        <w:fldChar w:fldCharType="begin"/>
      </w:r>
      <w:r>
        <w:rPr>
          <w:rFonts w:hint="default" w:ascii="Times New Roman" w:hAnsi="Times New Roman" w:eastAsia="仿宋" w:cs="Times New Roman"/>
          <w:b w:val="0"/>
          <w:bCs w:val="0"/>
          <w:i w:val="0"/>
          <w:iCs w:val="0"/>
          <w:sz w:val="28"/>
          <w:szCs w:val="28"/>
        </w:rPr>
        <w:instrText xml:space="preserve"> HYPERLINK \l _Toc31591 </w:instrText>
      </w:r>
      <w:r>
        <w:rPr>
          <w:rFonts w:hint="default" w:ascii="Times New Roman" w:hAnsi="Times New Roman" w:eastAsia="仿宋" w:cs="Times New Roman"/>
          <w:b w:val="0"/>
          <w:bCs w:val="0"/>
          <w:i w:val="0"/>
          <w:iCs w:val="0"/>
          <w:sz w:val="28"/>
          <w:szCs w:val="28"/>
        </w:rPr>
        <w:fldChar w:fldCharType="separate"/>
      </w:r>
      <w:r>
        <w:rPr>
          <w:rFonts w:hint="default" w:ascii="Times New Roman" w:hAnsi="Times New Roman" w:eastAsia="仿宋" w:cs="Times New Roman"/>
          <w:b w:val="0"/>
          <w:bCs w:val="0"/>
          <w:sz w:val="28"/>
          <w:szCs w:val="28"/>
          <w:highlight w:val="none"/>
        </w:rPr>
        <w:t>十、一般公共预算财政拨款“三公”经费支出决算表</w:t>
      </w:r>
      <w:r>
        <w:rPr>
          <w:rFonts w:hint="default" w:ascii="Times New Roman" w:hAnsi="Times New Roman" w:eastAsia="仿宋" w:cs="Times New Roman"/>
          <w:b w:val="0"/>
          <w:bCs w:val="0"/>
          <w:sz w:val="28"/>
          <w:szCs w:val="28"/>
        </w:rPr>
        <w:tab/>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PAGEREF _Toc31591 \h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34</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i w:val="0"/>
          <w:iCs w:val="0"/>
          <w:sz w:val="28"/>
          <w:szCs w:val="28"/>
        </w:rPr>
        <w:fldChar w:fldCharType="end"/>
      </w:r>
    </w:p>
    <w:p>
      <w:pPr>
        <w:pStyle w:val="10"/>
        <w:keepNext w:val="0"/>
        <w:keepLines w:val="0"/>
        <w:pageBreakBefore w:val="0"/>
        <w:widowControl w:val="0"/>
        <w:tabs>
          <w:tab w:val="right" w:leader="dot" w:pos="8730"/>
        </w:tabs>
        <w:kinsoku/>
        <w:wordWrap/>
        <w:overflowPunct/>
        <w:topLinePunct w:val="0"/>
        <w:autoSpaceDE/>
        <w:autoSpaceDN/>
        <w:bidi w:val="0"/>
        <w:adjustRightInd/>
        <w:snapToGrid/>
        <w:spacing w:line="540" w:lineRule="exact"/>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i w:val="0"/>
          <w:iCs w:val="0"/>
          <w:sz w:val="28"/>
          <w:szCs w:val="28"/>
        </w:rPr>
        <w:fldChar w:fldCharType="begin"/>
      </w:r>
      <w:r>
        <w:rPr>
          <w:rFonts w:hint="default" w:ascii="Times New Roman" w:hAnsi="Times New Roman" w:eastAsia="仿宋" w:cs="Times New Roman"/>
          <w:b w:val="0"/>
          <w:bCs w:val="0"/>
          <w:i w:val="0"/>
          <w:iCs w:val="0"/>
          <w:sz w:val="28"/>
          <w:szCs w:val="28"/>
        </w:rPr>
        <w:instrText xml:space="preserve"> HYPERLINK \l _Toc18601 </w:instrText>
      </w:r>
      <w:r>
        <w:rPr>
          <w:rFonts w:hint="default" w:ascii="Times New Roman" w:hAnsi="Times New Roman" w:eastAsia="仿宋" w:cs="Times New Roman"/>
          <w:b w:val="0"/>
          <w:bCs w:val="0"/>
          <w:i w:val="0"/>
          <w:iCs w:val="0"/>
          <w:sz w:val="28"/>
          <w:szCs w:val="28"/>
        </w:rPr>
        <w:fldChar w:fldCharType="separate"/>
      </w:r>
      <w:r>
        <w:rPr>
          <w:rFonts w:hint="default" w:ascii="Times New Roman" w:hAnsi="Times New Roman" w:eastAsia="仿宋" w:cs="Times New Roman"/>
          <w:b w:val="0"/>
          <w:bCs w:val="0"/>
          <w:sz w:val="28"/>
          <w:szCs w:val="28"/>
          <w:highlight w:val="none"/>
        </w:rPr>
        <w:t>十一、政府性基金预算财政拨款收入支出决算表</w:t>
      </w:r>
      <w:r>
        <w:rPr>
          <w:rFonts w:hint="default" w:ascii="Times New Roman" w:hAnsi="Times New Roman" w:eastAsia="仿宋" w:cs="Times New Roman"/>
          <w:b w:val="0"/>
          <w:bCs w:val="0"/>
          <w:sz w:val="28"/>
          <w:szCs w:val="28"/>
        </w:rPr>
        <w:tab/>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PAGEREF _Toc18601 \h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34</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i w:val="0"/>
          <w:iCs w:val="0"/>
          <w:sz w:val="28"/>
          <w:szCs w:val="28"/>
        </w:rPr>
        <w:fldChar w:fldCharType="end"/>
      </w:r>
    </w:p>
    <w:p>
      <w:pPr>
        <w:pStyle w:val="10"/>
        <w:keepNext w:val="0"/>
        <w:keepLines w:val="0"/>
        <w:pageBreakBefore w:val="0"/>
        <w:widowControl w:val="0"/>
        <w:tabs>
          <w:tab w:val="right" w:leader="dot" w:pos="8730"/>
        </w:tabs>
        <w:kinsoku/>
        <w:wordWrap/>
        <w:overflowPunct/>
        <w:topLinePunct w:val="0"/>
        <w:autoSpaceDE/>
        <w:autoSpaceDN/>
        <w:bidi w:val="0"/>
        <w:adjustRightInd/>
        <w:snapToGrid/>
        <w:spacing w:line="540" w:lineRule="exact"/>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i w:val="0"/>
          <w:iCs w:val="0"/>
          <w:sz w:val="28"/>
          <w:szCs w:val="28"/>
        </w:rPr>
        <w:fldChar w:fldCharType="begin"/>
      </w:r>
      <w:r>
        <w:rPr>
          <w:rFonts w:hint="default" w:ascii="Times New Roman" w:hAnsi="Times New Roman" w:eastAsia="仿宋" w:cs="Times New Roman"/>
          <w:b w:val="0"/>
          <w:bCs w:val="0"/>
          <w:i w:val="0"/>
          <w:iCs w:val="0"/>
          <w:sz w:val="28"/>
          <w:szCs w:val="28"/>
        </w:rPr>
        <w:instrText xml:space="preserve"> HYPERLINK \l _Toc1747 </w:instrText>
      </w:r>
      <w:r>
        <w:rPr>
          <w:rFonts w:hint="default" w:ascii="Times New Roman" w:hAnsi="Times New Roman" w:eastAsia="仿宋" w:cs="Times New Roman"/>
          <w:b w:val="0"/>
          <w:bCs w:val="0"/>
          <w:i w:val="0"/>
          <w:iCs w:val="0"/>
          <w:sz w:val="28"/>
          <w:szCs w:val="28"/>
        </w:rPr>
        <w:fldChar w:fldCharType="separate"/>
      </w:r>
      <w:r>
        <w:rPr>
          <w:rFonts w:hint="default" w:ascii="Times New Roman" w:hAnsi="Times New Roman" w:eastAsia="仿宋" w:cs="Times New Roman"/>
          <w:b w:val="0"/>
          <w:bCs w:val="0"/>
          <w:sz w:val="28"/>
          <w:szCs w:val="28"/>
          <w:highlight w:val="none"/>
        </w:rPr>
        <w:t>十二、政府性基金预算财政拨款“三公”经费支出决算表</w:t>
      </w:r>
      <w:r>
        <w:rPr>
          <w:rFonts w:hint="default" w:ascii="Times New Roman" w:hAnsi="Times New Roman" w:eastAsia="仿宋" w:cs="Times New Roman"/>
          <w:b w:val="0"/>
          <w:bCs w:val="0"/>
          <w:sz w:val="28"/>
          <w:szCs w:val="28"/>
        </w:rPr>
        <w:tab/>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PAGEREF _Toc1747 \h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34</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i w:val="0"/>
          <w:iCs w:val="0"/>
          <w:sz w:val="28"/>
          <w:szCs w:val="28"/>
        </w:rPr>
        <w:fldChar w:fldCharType="end"/>
      </w:r>
    </w:p>
    <w:p>
      <w:pPr>
        <w:pStyle w:val="10"/>
        <w:keepNext w:val="0"/>
        <w:keepLines w:val="0"/>
        <w:pageBreakBefore w:val="0"/>
        <w:widowControl w:val="0"/>
        <w:tabs>
          <w:tab w:val="right" w:leader="dot" w:pos="8730"/>
        </w:tabs>
        <w:kinsoku/>
        <w:wordWrap/>
        <w:overflowPunct/>
        <w:topLinePunct w:val="0"/>
        <w:autoSpaceDE/>
        <w:autoSpaceDN/>
        <w:bidi w:val="0"/>
        <w:adjustRightInd/>
        <w:snapToGrid/>
        <w:spacing w:line="540" w:lineRule="exact"/>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i w:val="0"/>
          <w:iCs w:val="0"/>
          <w:sz w:val="28"/>
          <w:szCs w:val="28"/>
        </w:rPr>
        <w:fldChar w:fldCharType="begin"/>
      </w:r>
      <w:r>
        <w:rPr>
          <w:rFonts w:hint="default" w:ascii="Times New Roman" w:hAnsi="Times New Roman" w:eastAsia="仿宋" w:cs="Times New Roman"/>
          <w:b w:val="0"/>
          <w:bCs w:val="0"/>
          <w:i w:val="0"/>
          <w:iCs w:val="0"/>
          <w:sz w:val="28"/>
          <w:szCs w:val="28"/>
        </w:rPr>
        <w:instrText xml:space="preserve"> HYPERLINK \l _Toc31539 </w:instrText>
      </w:r>
      <w:r>
        <w:rPr>
          <w:rFonts w:hint="default" w:ascii="Times New Roman" w:hAnsi="Times New Roman" w:eastAsia="仿宋" w:cs="Times New Roman"/>
          <w:b w:val="0"/>
          <w:bCs w:val="0"/>
          <w:i w:val="0"/>
          <w:iCs w:val="0"/>
          <w:sz w:val="28"/>
          <w:szCs w:val="28"/>
        </w:rPr>
        <w:fldChar w:fldCharType="separate"/>
      </w:r>
      <w:r>
        <w:rPr>
          <w:rFonts w:hint="default" w:ascii="Times New Roman" w:hAnsi="Times New Roman" w:eastAsia="仿宋" w:cs="Times New Roman"/>
          <w:b w:val="0"/>
          <w:bCs w:val="0"/>
          <w:sz w:val="28"/>
          <w:szCs w:val="28"/>
          <w:highlight w:val="none"/>
        </w:rPr>
        <w:t>十三、国有资本经营预算</w:t>
      </w:r>
      <w:r>
        <w:rPr>
          <w:rFonts w:hint="default" w:ascii="Times New Roman" w:hAnsi="Times New Roman" w:eastAsia="仿宋" w:cs="Times New Roman"/>
          <w:b w:val="0"/>
          <w:bCs w:val="0"/>
          <w:sz w:val="28"/>
          <w:szCs w:val="28"/>
          <w:highlight w:val="none"/>
          <w:lang w:eastAsia="zh-CN"/>
        </w:rPr>
        <w:t>财政拨款收入</w:t>
      </w:r>
      <w:r>
        <w:rPr>
          <w:rFonts w:hint="default" w:ascii="Times New Roman" w:hAnsi="Times New Roman" w:eastAsia="仿宋" w:cs="Times New Roman"/>
          <w:b w:val="0"/>
          <w:bCs w:val="0"/>
          <w:sz w:val="28"/>
          <w:szCs w:val="28"/>
          <w:highlight w:val="none"/>
        </w:rPr>
        <w:t>支出决算表</w:t>
      </w:r>
      <w:r>
        <w:rPr>
          <w:rFonts w:hint="default" w:ascii="Times New Roman" w:hAnsi="Times New Roman" w:eastAsia="仿宋" w:cs="Times New Roman"/>
          <w:b w:val="0"/>
          <w:bCs w:val="0"/>
          <w:sz w:val="28"/>
          <w:szCs w:val="28"/>
        </w:rPr>
        <w:tab/>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PAGEREF _Toc31539 \h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34</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i w:val="0"/>
          <w:iCs w:val="0"/>
          <w:sz w:val="28"/>
          <w:szCs w:val="28"/>
        </w:rPr>
        <w:fldChar w:fldCharType="end"/>
      </w:r>
    </w:p>
    <w:p>
      <w:pPr>
        <w:pStyle w:val="10"/>
        <w:keepNext w:val="0"/>
        <w:keepLines w:val="0"/>
        <w:pageBreakBefore w:val="0"/>
        <w:widowControl w:val="0"/>
        <w:tabs>
          <w:tab w:val="right" w:leader="dot" w:pos="8730"/>
        </w:tabs>
        <w:kinsoku/>
        <w:wordWrap/>
        <w:overflowPunct/>
        <w:topLinePunct w:val="0"/>
        <w:autoSpaceDE/>
        <w:autoSpaceDN/>
        <w:bidi w:val="0"/>
        <w:adjustRightInd/>
        <w:snapToGrid/>
        <w:spacing w:line="540" w:lineRule="exact"/>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i w:val="0"/>
          <w:iCs w:val="0"/>
          <w:sz w:val="28"/>
          <w:szCs w:val="28"/>
        </w:rPr>
        <w:fldChar w:fldCharType="begin"/>
      </w:r>
      <w:r>
        <w:rPr>
          <w:rFonts w:hint="default" w:ascii="Times New Roman" w:hAnsi="Times New Roman" w:eastAsia="仿宋" w:cs="Times New Roman"/>
          <w:b w:val="0"/>
          <w:bCs w:val="0"/>
          <w:i w:val="0"/>
          <w:iCs w:val="0"/>
          <w:sz w:val="28"/>
          <w:szCs w:val="28"/>
        </w:rPr>
        <w:instrText xml:space="preserve"> HYPERLINK \l _Toc28519 </w:instrText>
      </w:r>
      <w:r>
        <w:rPr>
          <w:rFonts w:hint="default" w:ascii="Times New Roman" w:hAnsi="Times New Roman" w:eastAsia="仿宋" w:cs="Times New Roman"/>
          <w:b w:val="0"/>
          <w:bCs w:val="0"/>
          <w:i w:val="0"/>
          <w:iCs w:val="0"/>
          <w:sz w:val="28"/>
          <w:szCs w:val="28"/>
        </w:rPr>
        <w:fldChar w:fldCharType="separate"/>
      </w:r>
      <w:r>
        <w:rPr>
          <w:rFonts w:hint="default" w:ascii="Times New Roman" w:hAnsi="Times New Roman" w:eastAsia="仿宋" w:cs="Times New Roman"/>
          <w:b w:val="0"/>
          <w:bCs w:val="0"/>
          <w:sz w:val="28"/>
          <w:szCs w:val="28"/>
          <w:highlight w:val="none"/>
          <w:lang w:eastAsia="zh-CN"/>
        </w:rPr>
        <w:t>十四、国有资本经营预算财政拨款支出决算表</w:t>
      </w:r>
      <w:r>
        <w:rPr>
          <w:rFonts w:hint="default" w:ascii="Times New Roman" w:hAnsi="Times New Roman" w:eastAsia="仿宋" w:cs="Times New Roman"/>
          <w:b w:val="0"/>
          <w:bCs w:val="0"/>
          <w:sz w:val="28"/>
          <w:szCs w:val="28"/>
        </w:rPr>
        <w:tab/>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PAGEREF _Toc28519 \h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34</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i w:val="0"/>
          <w:iCs w:val="0"/>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b w:val="0"/>
          <w:bCs/>
          <w:i w:val="0"/>
          <w:iCs w:val="0"/>
          <w:sz w:val="28"/>
          <w:szCs w:val="28"/>
        </w:rPr>
      </w:pPr>
      <w:r>
        <w:rPr>
          <w:rFonts w:hint="default" w:ascii="Times New Roman" w:hAnsi="Times New Roman" w:eastAsia="仿宋" w:cs="Times New Roman"/>
          <w:b w:val="0"/>
          <w:bCs w:val="0"/>
          <w:i w:val="0"/>
          <w:iCs w:val="0"/>
          <w:sz w:val="28"/>
          <w:szCs w:val="28"/>
        </w:rPr>
        <w:fldChar w:fldCharType="end"/>
      </w:r>
    </w:p>
    <w:p>
      <w:pPr>
        <w:pStyle w:val="2"/>
        <w:spacing w:line="580" w:lineRule="exact"/>
        <w:ind w:right="440"/>
        <w:jc w:val="center"/>
        <w:rPr>
          <w:rStyle w:val="19"/>
          <w:rFonts w:hint="default" w:ascii="Times New Roman" w:hAnsi="Times New Roman" w:eastAsia="黑体" w:cs="Times New Roman"/>
          <w:b w:val="0"/>
          <w:bCs w:val="0"/>
          <w:lang w:val="en-US" w:eastAsia="zh-CN" w:bidi="ar-SA"/>
        </w:rPr>
      </w:pPr>
      <w:r>
        <w:rPr>
          <w:rFonts w:hint="default" w:ascii="Times New Roman" w:hAnsi="Times New Roman" w:cs="Times New Roman"/>
          <w:caps/>
        </w:rPr>
        <w:br w:type="page"/>
      </w:r>
      <w:bookmarkStart w:id="0" w:name="_Toc28019"/>
      <w:bookmarkStart w:id="1" w:name="_Toc20582"/>
      <w:bookmarkStart w:id="2" w:name="_Toc9103"/>
      <w:bookmarkStart w:id="3" w:name="_Toc15304"/>
      <w:r>
        <w:rPr>
          <w:rStyle w:val="19"/>
          <w:rFonts w:hint="default" w:ascii="Times New Roman" w:hAnsi="Times New Roman" w:eastAsia="黑体" w:cs="Times New Roman"/>
          <w:b w:val="0"/>
          <w:bCs w:val="0"/>
          <w:lang w:val="en-US" w:eastAsia="zh-CN" w:bidi="ar-SA"/>
        </w:rPr>
        <w:t>第一部分 部门概况</w:t>
      </w:r>
      <w:bookmarkEnd w:id="0"/>
      <w:bookmarkEnd w:id="1"/>
      <w:bookmarkEnd w:id="2"/>
      <w:bookmarkEnd w:id="3"/>
    </w:p>
    <w:p>
      <w:pPr>
        <w:spacing w:line="580" w:lineRule="exact"/>
        <w:ind w:firstLine="3300" w:firstLineChars="750"/>
        <w:rPr>
          <w:rFonts w:hint="default" w:ascii="Times New Roman" w:hAnsi="Times New Roman" w:eastAsia="黑体" w:cs="Times New Roman"/>
          <w:color w:val="FF0000"/>
          <w:sz w:val="44"/>
          <w:szCs w:val="44"/>
        </w:rPr>
      </w:pPr>
    </w:p>
    <w:p>
      <w:pPr>
        <w:pStyle w:val="3"/>
        <w:spacing w:before="0" w:after="0" w:line="580" w:lineRule="exact"/>
        <w:ind w:firstLine="640" w:firstLineChars="200"/>
        <w:rPr>
          <w:rStyle w:val="20"/>
          <w:rFonts w:hint="default" w:ascii="Times New Roman" w:hAnsi="Times New Roman" w:eastAsia="仿宋" w:cs="Times New Roman"/>
          <w:b w:val="0"/>
          <w:bCs w:val="0"/>
        </w:rPr>
      </w:pPr>
      <w:bookmarkStart w:id="4" w:name="_Toc6043"/>
      <w:bookmarkStart w:id="5" w:name="_Toc19723"/>
      <w:bookmarkStart w:id="6" w:name="_Toc22509"/>
      <w:bookmarkStart w:id="7" w:name="_Toc15377197"/>
      <w:bookmarkStart w:id="8" w:name="_Toc15396600"/>
      <w:bookmarkStart w:id="9" w:name="_Toc16664"/>
      <w:r>
        <w:rPr>
          <w:rFonts w:hint="default" w:ascii="Times New Roman" w:hAnsi="Times New Roman" w:eastAsia="黑体" w:cs="Times New Roman"/>
          <w:b w:val="0"/>
          <w:bCs w:val="0"/>
          <w:color w:val="000000"/>
        </w:rPr>
        <w:t>一、基</w:t>
      </w:r>
      <w:r>
        <w:rPr>
          <w:rStyle w:val="20"/>
          <w:rFonts w:hint="default" w:ascii="Times New Roman" w:hAnsi="Times New Roman" w:eastAsia="黑体" w:cs="Times New Roman"/>
          <w:b w:val="0"/>
          <w:bCs w:val="0"/>
        </w:rPr>
        <w:t>本职能及主要工作</w:t>
      </w:r>
      <w:bookmarkEnd w:id="4"/>
      <w:bookmarkEnd w:id="5"/>
      <w:bookmarkEnd w:id="6"/>
      <w:bookmarkEnd w:id="7"/>
      <w:bookmarkEnd w:id="8"/>
      <w:bookmarkEnd w:id="9"/>
    </w:p>
    <w:p>
      <w:pPr>
        <w:pStyle w:val="5"/>
        <w:adjustRightInd w:val="0"/>
        <w:snapToGrid w:val="0"/>
        <w:spacing w:beforeLines="0" w:line="580" w:lineRule="exact"/>
        <w:ind w:firstLine="643" w:firstLineChars="200"/>
        <w:outlineLvl w:val="2"/>
        <w:rPr>
          <w:rFonts w:hint="default" w:ascii="Times New Roman" w:hAnsi="Times New Roman" w:eastAsia="楷体" w:cs="Times New Roman"/>
          <w:b/>
          <w:bCs/>
          <w:color w:val="000000"/>
        </w:rPr>
      </w:pPr>
      <w:bookmarkStart w:id="10" w:name="_Toc15378445"/>
      <w:bookmarkStart w:id="11" w:name="_Toc15377198"/>
      <w:r>
        <w:rPr>
          <w:rFonts w:hint="default" w:ascii="Times New Roman" w:hAnsi="Times New Roman" w:eastAsia="楷体" w:cs="Times New Roman"/>
          <w:b/>
          <w:bCs/>
          <w:color w:val="000000"/>
        </w:rPr>
        <w:t>（一）主要职能</w:t>
      </w:r>
      <w:bookmarkEnd w:id="10"/>
      <w:bookmarkEnd w:id="11"/>
      <w:bookmarkStart w:id="12" w:name="_Toc15377199"/>
      <w:bookmarkStart w:id="13" w:name="_Toc15378446"/>
    </w:p>
    <w:p>
      <w:pPr>
        <w:pStyle w:val="5"/>
        <w:adjustRightInd w:val="0"/>
        <w:snapToGrid w:val="0"/>
        <w:spacing w:beforeLines="0" w:line="580" w:lineRule="exact"/>
        <w:ind w:firstLine="640" w:firstLineChars="200"/>
        <w:outlineLvl w:val="2"/>
        <w:rPr>
          <w:rFonts w:hint="default" w:ascii="Times New Roman" w:hAnsi="Times New Roman" w:cs="Times New Roman"/>
        </w:rPr>
      </w:pPr>
      <w:r>
        <w:rPr>
          <w:rFonts w:hint="default" w:ascii="Times New Roman" w:hAnsi="Times New Roman" w:cs="Times New Roman"/>
        </w:rPr>
        <w:t>自贡市政协办公室是政协自贡市委员会的办事机构，承担为市政协履行政治协商、民主监督、参政议政职能服务的各项工作。主要负责政协自贡市委员会全体会议、常务委员会会议、主席会议和其他重要会议的会务工作；组织实施政协自贡市委员会全体会议、常务委员会会议、主席会议决议和决定；负责委员视察、调查、座谈、研讨、咨询服务等活动以及专门委员会开展活动的组织、联系、文秘等工作；负责市政协的信息工作；负责与区县政协和市委、市人大常委会、市政府有关部门的联系工作；负责市政协开展活动的后勤保障工作；负责权限范围内的人事任免、机构调整和人员编制的使用工作；承办省、市政协领导交办的其他事项。</w:t>
      </w:r>
    </w:p>
    <w:p>
      <w:pPr>
        <w:pStyle w:val="5"/>
        <w:adjustRightInd w:val="0"/>
        <w:snapToGrid w:val="0"/>
        <w:spacing w:beforeLines="0" w:line="580" w:lineRule="exact"/>
        <w:ind w:firstLine="643" w:firstLineChars="200"/>
        <w:outlineLvl w:val="2"/>
        <w:rPr>
          <w:rFonts w:hint="default" w:ascii="Times New Roman" w:hAnsi="Times New Roman" w:eastAsia="楷体" w:cs="Times New Roman"/>
          <w:b/>
          <w:bCs/>
          <w:color w:val="000000"/>
        </w:rPr>
      </w:pPr>
      <w:r>
        <w:rPr>
          <w:rFonts w:hint="default" w:ascii="Times New Roman" w:hAnsi="Times New Roman" w:eastAsia="楷体" w:cs="Times New Roman"/>
          <w:b/>
          <w:bCs/>
          <w:color w:val="000000"/>
        </w:rPr>
        <w:t>（二）202</w:t>
      </w:r>
      <w:r>
        <w:rPr>
          <w:rFonts w:hint="default" w:ascii="Times New Roman" w:hAnsi="Times New Roman" w:eastAsia="楷体" w:cs="Times New Roman"/>
          <w:b/>
          <w:bCs/>
          <w:color w:val="000000"/>
          <w:lang w:val="en-US" w:eastAsia="zh-CN"/>
        </w:rPr>
        <w:t>1</w:t>
      </w:r>
      <w:r>
        <w:rPr>
          <w:rFonts w:hint="default" w:ascii="Times New Roman" w:hAnsi="Times New Roman" w:eastAsia="楷体" w:cs="Times New Roman"/>
          <w:b/>
          <w:bCs/>
          <w:color w:val="000000"/>
        </w:rPr>
        <w:t>年重点工作完成情况</w:t>
      </w:r>
      <w:bookmarkEnd w:id="12"/>
      <w:bookmarkEnd w:id="13"/>
    </w:p>
    <w:p>
      <w:pPr>
        <w:spacing w:line="58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cs="Times New Roman"/>
        </w:rPr>
        <w:t>202</w:t>
      </w:r>
      <w:r>
        <w:rPr>
          <w:rFonts w:hint="default" w:ascii="Times New Roman" w:hAnsi="Times New Roman" w:cs="Times New Roman"/>
          <w:lang w:val="en-US" w:eastAsia="zh-CN"/>
        </w:rPr>
        <w:t>1</w:t>
      </w:r>
      <w:r>
        <w:rPr>
          <w:rFonts w:hint="default" w:ascii="Times New Roman" w:hAnsi="Times New Roman" w:cs="Times New Roman"/>
        </w:rPr>
        <w:t>年，市政协</w:t>
      </w:r>
      <w:r>
        <w:rPr>
          <w:rFonts w:hint="eastAsia" w:cs="Times New Roman"/>
          <w:lang w:eastAsia="zh-CN"/>
        </w:rPr>
        <w:t>办公室</w:t>
      </w:r>
      <w:r>
        <w:rPr>
          <w:rFonts w:hint="default" w:ascii="Times New Roman" w:hAnsi="Times New Roman" w:eastAsia="仿宋_GB2312" w:cs="Times New Roman"/>
          <w:sz w:val="32"/>
          <w:szCs w:val="32"/>
        </w:rPr>
        <w:t>坚持以习近平新时代中国特色社会主义思想为指导，</w:t>
      </w:r>
      <w:r>
        <w:rPr>
          <w:rFonts w:hint="default" w:ascii="Times New Roman" w:hAnsi="Times New Roman" w:cs="Times New Roman"/>
          <w:sz w:val="32"/>
          <w:szCs w:val="32"/>
          <w:lang w:eastAsia="zh-CN"/>
        </w:rPr>
        <w:t>深入学习贯彻习近平总书记关于加强和改进人民政协工作的重要思想和对四川工作系列重要指示精神，在</w:t>
      </w:r>
      <w:r>
        <w:rPr>
          <w:rFonts w:hint="eastAsia" w:cs="Times New Roman"/>
          <w:sz w:val="32"/>
          <w:szCs w:val="32"/>
          <w:lang w:eastAsia="zh-CN"/>
        </w:rPr>
        <w:t>中共自贡市委</w:t>
      </w:r>
      <w:r>
        <w:rPr>
          <w:rFonts w:hint="default" w:ascii="Times New Roman" w:hAnsi="Times New Roman" w:cs="Times New Roman"/>
          <w:sz w:val="32"/>
          <w:szCs w:val="32"/>
          <w:lang w:eastAsia="zh-CN"/>
        </w:rPr>
        <w:t>的领导下，</w:t>
      </w:r>
      <w:r>
        <w:rPr>
          <w:rFonts w:hint="default" w:ascii="Times New Roman" w:hAnsi="Times New Roman" w:eastAsia="仿宋_GB2312" w:cs="Times New Roman"/>
          <w:sz w:val="32"/>
          <w:szCs w:val="32"/>
        </w:rPr>
        <w:t>围绕中心、服务大局</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抓牢协商主业，为聚力再造产业自贡，走出转型升级新路，加快建设新时代深化改革扩大开放示范城市作出了积极贡献</w:t>
      </w:r>
      <w:r>
        <w:rPr>
          <w:rFonts w:hint="default" w:ascii="Times New Roman" w:hAnsi="Times New Roman" w:cs="Times New Roman"/>
          <w:sz w:val="32"/>
          <w:szCs w:val="32"/>
          <w:lang w:eastAsia="zh-CN"/>
        </w:rPr>
        <w:t>，</w:t>
      </w:r>
      <w:r>
        <w:rPr>
          <w:rFonts w:hint="default" w:ascii="Times New Roman" w:hAnsi="Times New Roman" w:cs="Times New Roman"/>
        </w:rPr>
        <w:t>主要事业成效如下：</w:t>
      </w:r>
      <w:r>
        <w:rPr>
          <w:rFonts w:hint="default" w:ascii="Times New Roman" w:hAnsi="Times New Roman" w:cs="Times New Roman"/>
          <w:b/>
          <w:bCs/>
          <w:lang w:eastAsia="zh-CN"/>
        </w:rPr>
        <w:t>强化党建引领，广泛凝聚共识</w:t>
      </w:r>
      <w:r>
        <w:rPr>
          <w:rFonts w:hint="default" w:ascii="Times New Roman" w:hAnsi="Times New Roman" w:cs="Times New Roman"/>
          <w:b/>
          <w:bCs/>
        </w:rPr>
        <w:t>。</w:t>
      </w:r>
      <w:r>
        <w:rPr>
          <w:rFonts w:hint="default" w:ascii="Times New Roman" w:hAnsi="Times New Roman" w:eastAsia="仿宋_GB2312" w:cs="Times New Roman"/>
          <w:sz w:val="32"/>
          <w:szCs w:val="32"/>
        </w:rPr>
        <w:t>始终把党的领导贯穿到政协全部工作之中，大力推行党组会、主席会</w:t>
      </w:r>
      <w:r>
        <w:rPr>
          <w:rFonts w:hint="eastAsia" w:cs="Times New Roman"/>
          <w:sz w:val="32"/>
          <w:szCs w:val="32"/>
          <w:lang w:eastAsia="zh-CN"/>
        </w:rPr>
        <w:t>、常务委员</w:t>
      </w:r>
      <w:r>
        <w:rPr>
          <w:rFonts w:hint="default" w:ascii="Times New Roman" w:hAnsi="Times New Roman" w:eastAsia="仿宋_GB2312" w:cs="Times New Roman"/>
          <w:sz w:val="32"/>
          <w:szCs w:val="32"/>
        </w:rPr>
        <w:t>会理论学习第一议题制度，认真贯彻市委提出的“党委的工作推进到哪里、政协的力量就汇聚到哪里，党委的部署落实到哪里、政协的作用就发挥到哪里”要求，扎实开展党史学习教育，“开门问计”征集建议117条，开展“我为群众办实事”79件。研究出台5项举措，不断加强和促进新时代人民政协凝聚共识工作，“三个重要”作用进一步发挥。</w:t>
      </w:r>
      <w:r>
        <w:rPr>
          <w:rFonts w:hint="default" w:ascii="Times New Roman" w:hAnsi="Times New Roman" w:eastAsia="仿宋_GB2312" w:cs="Times New Roman"/>
          <w:b/>
          <w:bCs/>
          <w:sz w:val="32"/>
          <w:szCs w:val="32"/>
        </w:rPr>
        <w:t>深入建言资政，主动担当作为</w:t>
      </w:r>
      <w:r>
        <w:rPr>
          <w:rFonts w:hint="default" w:ascii="Times New Roman" w:hAnsi="Times New Roman" w:cs="Times New Roman"/>
          <w:b/>
          <w:bCs/>
          <w:sz w:val="32"/>
          <w:szCs w:val="32"/>
          <w:lang w:eastAsia="zh-CN"/>
        </w:rPr>
        <w:t>。</w:t>
      </w:r>
      <w:r>
        <w:rPr>
          <w:rFonts w:hint="default" w:ascii="Times New Roman" w:hAnsi="Times New Roman" w:eastAsia="仿宋_GB2312" w:cs="Times New Roman"/>
          <w:sz w:val="32"/>
          <w:szCs w:val="32"/>
        </w:rPr>
        <w:t>积极落实“党委出题、政协调研、政府采纳、部门落实”和“1+N”工作机制，紧扣聚力再造产业自贡，走出转型升级新路，加快建设新时代深化改革扩大开放示范城市，深入开展15个重点课题调查研究</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围绕深入实施“两项行动”，坚持“三抓联动”“四重并举”，倾力助推自贡市与五粮液集团合作。围绕打赢疫情防控和经济社会发展“两场硬仗”，深入协商议政、建言献策</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围绕打赢环保翻身战，深入区县开展环保督察</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围绕巩固脱贫攻坚成果、义务教育“双减”政策</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“我为群众办实事”</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“双助”活动，积极推动办实事、解难题</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全面开</w:t>
      </w:r>
      <w:r>
        <w:rPr>
          <w:rFonts w:hint="eastAsia" w:cs="Times New Roman"/>
          <w:sz w:val="32"/>
          <w:szCs w:val="32"/>
          <w:lang w:eastAsia="zh-CN"/>
        </w:rPr>
        <w:t>展</w:t>
      </w:r>
      <w:r>
        <w:rPr>
          <w:rFonts w:hint="default" w:ascii="Times New Roman" w:hAnsi="Times New Roman" w:eastAsia="仿宋_GB2312" w:cs="Times New Roman"/>
          <w:sz w:val="32"/>
          <w:szCs w:val="32"/>
        </w:rPr>
        <w:t>“有事来协商”工作，助力化解群众身边问题。</w:t>
      </w:r>
      <w:r>
        <w:rPr>
          <w:rFonts w:hint="default" w:ascii="Times New Roman" w:hAnsi="Times New Roman" w:cs="Times New Roman"/>
          <w:b/>
          <w:bCs/>
          <w:lang w:eastAsia="zh-CN"/>
        </w:rPr>
        <w:t>筑牢事业根基，推动创新发展</w:t>
      </w:r>
      <w:r>
        <w:rPr>
          <w:rFonts w:hint="default" w:ascii="Times New Roman" w:hAnsi="Times New Roman" w:cs="Times New Roman"/>
          <w:b/>
          <w:bCs/>
        </w:rPr>
        <w:t>。</w:t>
      </w:r>
      <w:r>
        <w:rPr>
          <w:rFonts w:hint="default" w:ascii="Times New Roman" w:hAnsi="Times New Roman" w:eastAsia="仿宋_GB2312" w:cs="Times New Roman"/>
          <w:sz w:val="32"/>
          <w:szCs w:val="32"/>
        </w:rPr>
        <w:t>以创新制度健全机制推动政协工作高质量发展</w:t>
      </w:r>
      <w:r>
        <w:rPr>
          <w:rFonts w:hint="eastAsia" w:cs="Times New Roman"/>
          <w:sz w:val="32"/>
          <w:szCs w:val="32"/>
          <w:lang w:eastAsia="zh-CN"/>
        </w:rPr>
        <w:t>，</w:t>
      </w:r>
      <w:r>
        <w:rPr>
          <w:rFonts w:hint="default" w:ascii="Times New Roman" w:hAnsi="Times New Roman" w:eastAsia="仿宋_GB2312" w:cs="Times New Roman"/>
          <w:sz w:val="32"/>
          <w:szCs w:val="32"/>
        </w:rPr>
        <w:t>宣传工作被评为全省先进单位，经验做法在全省政协宣传思想工作会上交流。“有事来协商”工作得到省政协充分肯定</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社情民意信息工作保持全省市州前3位。</w:t>
      </w:r>
      <w:r>
        <w:rPr>
          <w:rFonts w:hint="default" w:ascii="Times New Roman" w:hAnsi="Times New Roman" w:cs="Times New Roman"/>
          <w:sz w:val="32"/>
          <w:szCs w:val="32"/>
          <w:lang w:eastAsia="zh-CN"/>
        </w:rPr>
        <w:t>加强作风建设，</w:t>
      </w:r>
      <w:r>
        <w:rPr>
          <w:rFonts w:hint="default" w:ascii="Times New Roman" w:hAnsi="Times New Roman" w:eastAsia="仿宋_GB2312" w:cs="Times New Roman"/>
          <w:sz w:val="32"/>
          <w:szCs w:val="32"/>
        </w:rPr>
        <w:t>全面完成巡视巡察反馈问题整改，认真做好巡视巡察整改“后半篇”文章。认真学习贯彻中央和省委及市委关于严肃换届纪律加强换届风气监督有关政策规定，</w:t>
      </w:r>
      <w:r>
        <w:rPr>
          <w:rFonts w:hint="default" w:ascii="Times New Roman" w:hAnsi="Times New Roman" w:cs="Times New Roman"/>
          <w:sz w:val="32"/>
          <w:szCs w:val="32"/>
          <w:lang w:eastAsia="zh-CN"/>
        </w:rPr>
        <w:t>圆满</w:t>
      </w:r>
      <w:r>
        <w:rPr>
          <w:rFonts w:hint="eastAsia" w:cs="Times New Roman"/>
          <w:sz w:val="32"/>
          <w:szCs w:val="32"/>
          <w:lang w:eastAsia="zh-CN"/>
        </w:rPr>
        <w:t>完成</w:t>
      </w:r>
      <w:r>
        <w:rPr>
          <w:rFonts w:hint="default" w:ascii="Times New Roman" w:hAnsi="Times New Roman" w:eastAsia="仿宋_GB2312" w:cs="Times New Roman"/>
          <w:sz w:val="32"/>
          <w:szCs w:val="32"/>
        </w:rPr>
        <w:t>换届工作。</w:t>
      </w:r>
    </w:p>
    <w:p>
      <w:pPr>
        <w:pStyle w:val="3"/>
        <w:spacing w:before="0" w:after="0" w:line="580" w:lineRule="exact"/>
        <w:ind w:firstLine="640" w:firstLineChars="200"/>
        <w:rPr>
          <w:rStyle w:val="20"/>
          <w:rFonts w:hint="default" w:ascii="Times New Roman" w:hAnsi="Times New Roman" w:cs="Times New Roman"/>
          <w:b w:val="0"/>
          <w:bCs w:val="0"/>
        </w:rPr>
      </w:pPr>
      <w:bookmarkStart w:id="14" w:name="_Toc15168"/>
      <w:bookmarkStart w:id="15" w:name="_Toc15396601"/>
      <w:bookmarkStart w:id="16" w:name="_Toc17311"/>
      <w:bookmarkStart w:id="17" w:name="_Toc20172"/>
      <w:bookmarkStart w:id="18" w:name="_Toc19324"/>
      <w:bookmarkStart w:id="19" w:name="_Toc15377200"/>
      <w:r>
        <w:rPr>
          <w:rFonts w:hint="default" w:ascii="Times New Roman" w:hAnsi="Times New Roman" w:eastAsia="黑体" w:cs="Times New Roman"/>
          <w:b w:val="0"/>
          <w:bCs w:val="0"/>
          <w:color w:val="000000"/>
        </w:rPr>
        <w:t>二、机</w:t>
      </w:r>
      <w:r>
        <w:rPr>
          <w:rStyle w:val="20"/>
          <w:rFonts w:hint="default" w:ascii="Times New Roman" w:hAnsi="Times New Roman" w:eastAsia="黑体" w:cs="Times New Roman"/>
          <w:b w:val="0"/>
          <w:bCs w:val="0"/>
        </w:rPr>
        <w:t>构设置</w:t>
      </w:r>
      <w:bookmarkEnd w:id="14"/>
      <w:bookmarkEnd w:id="15"/>
      <w:bookmarkEnd w:id="16"/>
      <w:bookmarkEnd w:id="17"/>
      <w:bookmarkEnd w:id="18"/>
      <w:bookmarkEnd w:id="19"/>
    </w:p>
    <w:p>
      <w:pPr>
        <w:spacing w:line="580" w:lineRule="exact"/>
        <w:ind w:firstLine="640" w:firstLineChars="200"/>
        <w:rPr>
          <w:rFonts w:hint="eastAsia" w:ascii="Times New Roman" w:hAnsi="Times New Roman" w:eastAsia="仿宋_GB2312" w:cs="Times New Roman"/>
          <w:sz w:val="32"/>
          <w:szCs w:val="32"/>
          <w:lang w:val="en-US" w:eastAsia="zh-CN"/>
        </w:rPr>
      </w:pPr>
      <w:bookmarkStart w:id="20" w:name="_Toc15377204"/>
      <w:bookmarkStart w:id="21" w:name="_Toc15396602"/>
      <w:r>
        <w:rPr>
          <w:rFonts w:hint="default" w:ascii="Times New Roman" w:hAnsi="Times New Roman" w:eastAsia="仿宋_GB2312" w:cs="Times New Roman"/>
          <w:sz w:val="32"/>
          <w:szCs w:val="32"/>
          <w:lang w:val="en-US" w:eastAsia="zh-CN"/>
        </w:rPr>
        <w:t>市政协办公室部门下属二级预算单位1个，其中行政单位1个</w:t>
      </w:r>
      <w:r>
        <w:rPr>
          <w:rFonts w:hint="eastAsia" w:ascii="Times New Roman" w:hAnsi="Times New Roman" w:eastAsia="仿宋_GB2312" w:cs="Times New Roman"/>
          <w:sz w:val="32"/>
          <w:szCs w:val="32"/>
          <w:lang w:val="en-US" w:eastAsia="zh-CN"/>
        </w:rPr>
        <w:t>，主要包括：市政协办公室机关。</w:t>
      </w:r>
    </w:p>
    <w:p>
      <w:pPr>
        <w:rPr>
          <w:rFonts w:hint="default" w:ascii="Times New Roman" w:hAnsi="Times New Roman" w:cs="Times New Roman"/>
        </w:rPr>
      </w:pPr>
    </w:p>
    <w:p>
      <w:pPr>
        <w:pStyle w:val="11"/>
        <w:outlineLvl w:val="9"/>
        <w:rPr>
          <w:rFonts w:hint="default" w:ascii="Times New Roman" w:hAnsi="Times New Roman" w:cs="Times New Roman"/>
        </w:rPr>
      </w:pPr>
      <w:bookmarkStart w:id="232" w:name="_GoBack"/>
      <w:bookmarkEnd w:id="232"/>
    </w:p>
    <w:p>
      <w:pPr>
        <w:rPr>
          <w:rFonts w:hint="default" w:ascii="Times New Roman" w:hAnsi="Times New Roman" w:cs="Times New Roman"/>
        </w:rPr>
      </w:pPr>
    </w:p>
    <w:p>
      <w:pPr>
        <w:pStyle w:val="11"/>
        <w:outlineLvl w:val="9"/>
        <w:rPr>
          <w:rFonts w:hint="default" w:ascii="Times New Roman" w:hAnsi="Times New Roman" w:cs="Times New Roman"/>
        </w:rPr>
      </w:pPr>
    </w:p>
    <w:p>
      <w:pPr>
        <w:rPr>
          <w:rFonts w:hint="default" w:ascii="Times New Roman" w:hAnsi="Times New Roman" w:cs="Times New Roman"/>
        </w:rPr>
      </w:pPr>
    </w:p>
    <w:p>
      <w:pPr>
        <w:pStyle w:val="11"/>
        <w:outlineLvl w:val="9"/>
        <w:rPr>
          <w:rFonts w:hint="default" w:ascii="Times New Roman" w:hAnsi="Times New Roman" w:cs="Times New Roman"/>
        </w:rPr>
      </w:pPr>
    </w:p>
    <w:p>
      <w:pPr>
        <w:rPr>
          <w:rFonts w:hint="default" w:ascii="Times New Roman" w:hAnsi="Times New Roman" w:cs="Times New Roman"/>
        </w:rPr>
      </w:pPr>
    </w:p>
    <w:p>
      <w:pPr>
        <w:pStyle w:val="11"/>
        <w:outlineLvl w:val="9"/>
        <w:rPr>
          <w:rFonts w:hint="default" w:ascii="Times New Roman" w:hAnsi="Times New Roman" w:cs="Times New Roman"/>
        </w:rPr>
      </w:pPr>
    </w:p>
    <w:p>
      <w:pPr>
        <w:rPr>
          <w:rFonts w:hint="default" w:ascii="Times New Roman" w:hAnsi="Times New Roman" w:cs="Times New Roman"/>
        </w:rPr>
      </w:pPr>
    </w:p>
    <w:p>
      <w:pPr>
        <w:pStyle w:val="11"/>
        <w:outlineLvl w:val="9"/>
        <w:rPr>
          <w:rFonts w:hint="default" w:ascii="Times New Roman" w:hAnsi="Times New Roman" w:cs="Times New Roman"/>
        </w:rPr>
      </w:pPr>
    </w:p>
    <w:p>
      <w:pPr>
        <w:rPr>
          <w:rFonts w:hint="default" w:ascii="Times New Roman" w:hAnsi="Times New Roman" w:cs="Times New Roman"/>
        </w:rPr>
      </w:pPr>
    </w:p>
    <w:p>
      <w:pPr>
        <w:pStyle w:val="2"/>
        <w:spacing w:line="580" w:lineRule="exact"/>
        <w:ind w:right="440"/>
        <w:jc w:val="center"/>
        <w:rPr>
          <w:rStyle w:val="19"/>
          <w:rFonts w:hint="default" w:ascii="Times New Roman" w:hAnsi="Times New Roman" w:eastAsia="黑体" w:cs="Times New Roman"/>
          <w:b w:val="0"/>
          <w:bCs w:val="0"/>
        </w:rPr>
      </w:pPr>
      <w:bookmarkStart w:id="22" w:name="_Toc29853"/>
      <w:bookmarkStart w:id="23" w:name="_Toc24900"/>
      <w:bookmarkStart w:id="24" w:name="_Toc5552"/>
      <w:bookmarkStart w:id="25" w:name="_Toc30245"/>
      <w:r>
        <w:rPr>
          <w:rFonts w:hint="default" w:ascii="Times New Roman" w:hAnsi="Times New Roman" w:eastAsia="黑体" w:cs="Times New Roman"/>
          <w:b w:val="0"/>
          <w:bCs w:val="0"/>
          <w:color w:val="000000"/>
        </w:rPr>
        <w:t xml:space="preserve">第二部分 </w:t>
      </w:r>
      <w:r>
        <w:rPr>
          <w:rStyle w:val="19"/>
          <w:rFonts w:hint="default" w:ascii="Times New Roman" w:hAnsi="Times New Roman" w:eastAsia="黑体" w:cs="Times New Roman"/>
          <w:b w:val="0"/>
          <w:bCs w:val="0"/>
        </w:rPr>
        <w:t>202</w:t>
      </w:r>
      <w:r>
        <w:rPr>
          <w:rStyle w:val="19"/>
          <w:rFonts w:hint="default" w:ascii="Times New Roman" w:hAnsi="Times New Roman" w:eastAsia="黑体" w:cs="Times New Roman"/>
          <w:b w:val="0"/>
          <w:bCs w:val="0"/>
          <w:lang w:val="en-US" w:eastAsia="zh-CN"/>
        </w:rPr>
        <w:t>1</w:t>
      </w:r>
      <w:r>
        <w:rPr>
          <w:rStyle w:val="19"/>
          <w:rFonts w:hint="default" w:ascii="Times New Roman" w:hAnsi="Times New Roman" w:eastAsia="黑体" w:cs="Times New Roman"/>
          <w:b w:val="0"/>
          <w:bCs w:val="0"/>
        </w:rPr>
        <w:t>年度部门决算情况说明</w:t>
      </w:r>
      <w:bookmarkEnd w:id="20"/>
      <w:bookmarkEnd w:id="21"/>
      <w:bookmarkEnd w:id="22"/>
      <w:bookmarkEnd w:id="23"/>
      <w:bookmarkEnd w:id="24"/>
      <w:bookmarkEnd w:id="25"/>
    </w:p>
    <w:p>
      <w:pPr>
        <w:spacing w:line="580" w:lineRule="exact"/>
        <w:ind w:firstLine="640" w:firstLineChars="200"/>
        <w:rPr>
          <w:rFonts w:hint="default" w:ascii="Times New Roman" w:hAnsi="Times New Roman" w:cs="Times New Roman"/>
        </w:rPr>
      </w:pPr>
    </w:p>
    <w:p>
      <w:pPr>
        <w:pStyle w:val="24"/>
        <w:spacing w:line="580" w:lineRule="exact"/>
        <w:ind w:firstLine="31680"/>
        <w:outlineLvl w:val="1"/>
        <w:rPr>
          <w:rStyle w:val="20"/>
          <w:rFonts w:hint="default" w:ascii="Times New Roman" w:hAnsi="Times New Roman" w:eastAsia="黑体" w:cs="Times New Roman"/>
          <w:b w:val="0"/>
          <w:bCs w:val="0"/>
        </w:rPr>
      </w:pPr>
      <w:bookmarkStart w:id="26" w:name="_Toc22095"/>
      <w:bookmarkStart w:id="27" w:name="_Toc15396603"/>
      <w:bookmarkStart w:id="28" w:name="_Toc25876"/>
      <w:bookmarkStart w:id="29" w:name="_Toc24343"/>
      <w:bookmarkStart w:id="30" w:name="_Toc15377205"/>
      <w:bookmarkStart w:id="31" w:name="_Toc10051"/>
      <w:r>
        <w:rPr>
          <w:rFonts w:hint="default" w:ascii="Times New Roman" w:hAnsi="Times New Roman" w:eastAsia="黑体" w:cs="Times New Roman"/>
          <w:color w:val="000000"/>
        </w:rPr>
        <w:t>一、收</w:t>
      </w:r>
      <w:r>
        <w:rPr>
          <w:rStyle w:val="20"/>
          <w:rFonts w:hint="default" w:ascii="Times New Roman" w:hAnsi="Times New Roman" w:eastAsia="黑体" w:cs="Times New Roman"/>
          <w:b w:val="0"/>
          <w:bCs w:val="0"/>
        </w:rPr>
        <w:t>入支出决算总体情况说明</w:t>
      </w:r>
      <w:bookmarkEnd w:id="26"/>
      <w:bookmarkEnd w:id="27"/>
      <w:bookmarkEnd w:id="28"/>
      <w:bookmarkEnd w:id="29"/>
      <w:bookmarkEnd w:id="30"/>
      <w:bookmarkEnd w:id="31"/>
    </w:p>
    <w:p>
      <w:pPr>
        <w:snapToGrid w:val="0"/>
        <w:spacing w:line="580" w:lineRule="exact"/>
        <w:ind w:firstLine="640" w:firstLineChars="200"/>
        <w:rPr>
          <w:rFonts w:hint="default" w:ascii="Times New Roman" w:hAnsi="Times New Roman" w:cs="Times New Roman"/>
          <w:color w:val="000000"/>
        </w:rPr>
      </w:pPr>
      <w:r>
        <w:rPr>
          <w:rFonts w:hint="default" w:ascii="Times New Roman" w:hAnsi="Times New Roman" w:cs="Times New Roman"/>
          <w:color w:val="000000"/>
        </w:rPr>
        <w:t>202</w:t>
      </w:r>
      <w:r>
        <w:rPr>
          <w:rFonts w:hint="default" w:ascii="Times New Roman" w:hAnsi="Times New Roman" w:cs="Times New Roman"/>
          <w:color w:val="000000"/>
          <w:lang w:val="en-US" w:eastAsia="zh-CN"/>
        </w:rPr>
        <w:t>1</w:t>
      </w:r>
      <w:r>
        <w:rPr>
          <w:rFonts w:hint="default" w:ascii="Times New Roman" w:hAnsi="Times New Roman" w:cs="Times New Roman"/>
          <w:color w:val="000000"/>
        </w:rPr>
        <w:t>年度收、支总计</w:t>
      </w:r>
      <w:r>
        <w:rPr>
          <w:rFonts w:hint="default" w:ascii="Times New Roman" w:hAnsi="Times New Roman" w:cs="Times New Roman"/>
          <w:color w:val="000000"/>
          <w:lang w:val="en-US" w:eastAsia="zh-CN"/>
        </w:rPr>
        <w:t>2480.86</w:t>
      </w:r>
      <w:r>
        <w:rPr>
          <w:rFonts w:hint="default" w:ascii="Times New Roman" w:hAnsi="Times New Roman" w:cs="Times New Roman"/>
          <w:color w:val="000000"/>
        </w:rPr>
        <w:t>万元。与20</w:t>
      </w:r>
      <w:r>
        <w:rPr>
          <w:rFonts w:hint="default" w:ascii="Times New Roman" w:hAnsi="Times New Roman" w:cs="Times New Roman"/>
          <w:color w:val="000000"/>
          <w:lang w:val="en-US" w:eastAsia="zh-CN"/>
        </w:rPr>
        <w:t>20</w:t>
      </w:r>
      <w:r>
        <w:rPr>
          <w:rFonts w:hint="default" w:ascii="Times New Roman" w:hAnsi="Times New Roman" w:cs="Times New Roman"/>
          <w:color w:val="000000"/>
        </w:rPr>
        <w:t>年相比，收、支总计各</w:t>
      </w:r>
      <w:r>
        <w:rPr>
          <w:rFonts w:hint="default" w:ascii="Times New Roman" w:hAnsi="Times New Roman" w:cs="Times New Roman"/>
          <w:color w:val="000000"/>
          <w:lang w:eastAsia="zh-CN"/>
        </w:rPr>
        <w:t>增加</w:t>
      </w:r>
      <w:r>
        <w:rPr>
          <w:rFonts w:hint="default" w:ascii="Times New Roman" w:hAnsi="Times New Roman" w:cs="Times New Roman"/>
          <w:color w:val="000000"/>
          <w:lang w:val="en-US" w:eastAsia="zh-CN"/>
        </w:rPr>
        <w:t>250.52</w:t>
      </w:r>
      <w:r>
        <w:rPr>
          <w:rFonts w:hint="default" w:ascii="Times New Roman" w:hAnsi="Times New Roman" w:cs="Times New Roman"/>
          <w:color w:val="000000"/>
        </w:rPr>
        <w:t>万元，</w:t>
      </w:r>
      <w:r>
        <w:rPr>
          <w:rFonts w:hint="default" w:ascii="Times New Roman" w:hAnsi="Times New Roman" w:cs="Times New Roman"/>
          <w:color w:val="000000"/>
          <w:lang w:eastAsia="zh-CN"/>
        </w:rPr>
        <w:t>增长</w:t>
      </w:r>
      <w:r>
        <w:rPr>
          <w:rFonts w:hint="default" w:ascii="Times New Roman" w:hAnsi="Times New Roman" w:cs="Times New Roman"/>
          <w:color w:val="000000"/>
          <w:lang w:val="en-US" w:eastAsia="zh-CN"/>
        </w:rPr>
        <w:t>11.23</w:t>
      </w:r>
      <w:r>
        <w:rPr>
          <w:rFonts w:hint="default" w:ascii="Times New Roman" w:hAnsi="Times New Roman" w:cs="Times New Roman"/>
          <w:color w:val="000000"/>
        </w:rPr>
        <w:t>%。</w:t>
      </w:r>
      <w:r>
        <w:rPr>
          <w:rFonts w:hint="default" w:ascii="Times New Roman" w:hAnsi="Times New Roman" w:cs="Times New Roman"/>
          <w:color w:val="000000"/>
          <w:highlight w:val="none"/>
        </w:rPr>
        <w:t>主要变动原因：</w:t>
      </w:r>
      <w:r>
        <w:rPr>
          <w:rFonts w:hint="default" w:ascii="Times New Roman" w:hAnsi="Times New Roman" w:eastAsia="仿宋_GB2312" w:cs="Times New Roman"/>
          <w:sz w:val="32"/>
          <w:szCs w:val="32"/>
        </w:rPr>
        <w:t>一是由于人员的变化相应增加基本工资、津贴补贴、奖金、其他工资和福利、医保、住房公积金等及其他人头经费支出；二是离退休职工去世丧葬抚恤费较上年增长63.32%；三是追加文史资料委托管理专项、《人民政协提案工作理论与自贡实践》编印专项；四是2021年老干部省外疗休养，相应增加支出。</w:t>
      </w:r>
    </w:p>
    <w:p>
      <w:pPr>
        <w:spacing w:line="580" w:lineRule="exact"/>
        <w:ind w:firstLine="640" w:firstLineChars="200"/>
        <w:rPr>
          <w:rFonts w:hint="default" w:ascii="Times New Roman" w:hAnsi="Times New Roman" w:cs="Times New Roman"/>
          <w:color w:val="000000"/>
        </w:rPr>
      </w:pPr>
      <w:r>
        <w:rPr>
          <w:rFonts w:hint="default" w:ascii="Times New Roman" w:hAnsi="Times New Roman" w:cs="Times New Roman"/>
        </w:rPr>
        <w:pict>
          <v:shape id="_x0000_s1026" o:spid="_x0000_s1026" o:spt="202" type="#_x0000_t202" style="position:absolute;left:0pt;margin-left:36pt;margin-top:0.9pt;height:179.4pt;width:287.45pt;mso-wrap-style:none;z-index:251662336;mso-width-relative:page;mso-height-relative:page;" filled="f" stroked="f" coordsize="21600,21600">
            <v:path/>
            <v:fill on="f" focussize="0,0"/>
            <v:stroke on="f" joinstyle="miter"/>
            <v:imagedata o:title=""/>
            <o:lock v:ext="edit"/>
            <v:textbox>
              <w:txbxContent>
                <w:p>
                  <w:r>
                    <w:object>
                      <v:shape id="_x0000_i1025" o:spt="75" type="#_x0000_t75" style="height:184.5pt;width:273pt;" o:ole="t" filled="f" o:preferrelative="t" stroked="f" coordsize="21600,21600">
                        <v:path/>
                        <v:fill on="f" focussize="0,0"/>
                        <v:stroke on="f"/>
                        <v:imagedata r:id="rId6" o:title=""/>
                        <o:lock v:ext="edit" aspectratio="t"/>
                        <w10:wrap type="none"/>
                        <w10:anchorlock/>
                      </v:shape>
                      <o:OLEObject Type="Embed" ProgID="MSGraph.Chart.8" ShapeID="_x0000_i1025" DrawAspect="Content" ObjectID="_1468075725" r:id="rId5">
                        <o:LockedField>false</o:LockedField>
                      </o:OLEObject>
                    </w:object>
                  </w:r>
                </w:p>
              </w:txbxContent>
            </v:textbox>
          </v:shape>
        </w:pict>
      </w:r>
    </w:p>
    <w:p>
      <w:pPr>
        <w:spacing w:line="580" w:lineRule="exact"/>
        <w:ind w:firstLine="640" w:firstLineChars="200"/>
        <w:jc w:val="left"/>
        <w:rPr>
          <w:rFonts w:hint="default" w:ascii="Times New Roman" w:hAnsi="Times New Roman" w:cs="Times New Roman"/>
          <w:color w:val="000000"/>
        </w:rPr>
      </w:pPr>
    </w:p>
    <w:p>
      <w:pPr>
        <w:spacing w:line="580" w:lineRule="exact"/>
        <w:ind w:firstLine="640" w:firstLineChars="200"/>
        <w:jc w:val="left"/>
        <w:rPr>
          <w:rFonts w:hint="default" w:ascii="Times New Roman" w:hAnsi="Times New Roman" w:cs="Times New Roman"/>
          <w:color w:val="000000"/>
        </w:rPr>
      </w:pPr>
    </w:p>
    <w:p>
      <w:pPr>
        <w:spacing w:line="580" w:lineRule="exact"/>
        <w:rPr>
          <w:rFonts w:hint="default" w:ascii="Times New Roman" w:hAnsi="Times New Roman" w:eastAsia="仿宋" w:cs="Times New Roman"/>
          <w:color w:val="000000"/>
        </w:rPr>
      </w:pPr>
    </w:p>
    <w:p>
      <w:pPr>
        <w:spacing w:line="580" w:lineRule="exact"/>
        <w:rPr>
          <w:rFonts w:hint="default" w:ascii="Times New Roman" w:hAnsi="Times New Roman" w:eastAsia="仿宋" w:cs="Times New Roman"/>
          <w:color w:val="000000"/>
        </w:rPr>
      </w:pPr>
    </w:p>
    <w:p>
      <w:pPr>
        <w:spacing w:line="580" w:lineRule="exact"/>
        <w:rPr>
          <w:rFonts w:hint="default" w:ascii="Times New Roman" w:hAnsi="Times New Roman" w:eastAsia="仿宋" w:cs="Times New Roman"/>
          <w:color w:val="000000"/>
        </w:rPr>
      </w:pPr>
    </w:p>
    <w:p>
      <w:pPr>
        <w:spacing w:line="580" w:lineRule="exact"/>
        <w:rPr>
          <w:rFonts w:hint="default" w:ascii="Times New Roman" w:hAnsi="Times New Roman" w:eastAsia="黑体" w:cs="Times New Roman"/>
          <w:color w:val="000000"/>
        </w:rPr>
      </w:pPr>
      <w:r>
        <w:rPr>
          <w:rFonts w:hint="default" w:ascii="Times New Roman" w:hAnsi="Times New Roman" w:eastAsia="仿宋" w:cs="Times New Roman"/>
          <w:color w:val="000000"/>
        </w:rPr>
        <w:t>（图1：收、支决算总计变动情况图）</w:t>
      </w:r>
      <w:bookmarkStart w:id="32" w:name="_Toc15377206"/>
      <w:bookmarkStart w:id="33" w:name="_Toc15396604"/>
    </w:p>
    <w:p>
      <w:pPr>
        <w:pStyle w:val="24"/>
        <w:spacing w:line="580" w:lineRule="exact"/>
        <w:ind w:left="640" w:firstLine="0" w:firstLineChars="0"/>
        <w:outlineLvl w:val="1"/>
        <w:rPr>
          <w:rStyle w:val="20"/>
          <w:rFonts w:hint="default" w:ascii="Times New Roman" w:hAnsi="Times New Roman" w:eastAsia="黑体" w:cs="Times New Roman"/>
          <w:b w:val="0"/>
          <w:bCs w:val="0"/>
        </w:rPr>
      </w:pPr>
      <w:bookmarkStart w:id="34" w:name="_Toc3256"/>
      <w:bookmarkStart w:id="35" w:name="_Toc6350"/>
      <w:bookmarkStart w:id="36" w:name="_Toc1152"/>
      <w:bookmarkStart w:id="37" w:name="_Toc10822"/>
      <w:r>
        <w:rPr>
          <w:rFonts w:hint="default" w:ascii="Times New Roman" w:hAnsi="Times New Roman" w:eastAsia="黑体" w:cs="Times New Roman"/>
          <w:color w:val="000000"/>
        </w:rPr>
        <w:t>二、收</w:t>
      </w:r>
      <w:r>
        <w:rPr>
          <w:rStyle w:val="20"/>
          <w:rFonts w:hint="default" w:ascii="Times New Roman" w:hAnsi="Times New Roman" w:eastAsia="黑体" w:cs="Times New Roman"/>
          <w:b w:val="0"/>
          <w:bCs w:val="0"/>
        </w:rPr>
        <w:t>入决算情况说明</w:t>
      </w:r>
      <w:bookmarkEnd w:id="32"/>
      <w:bookmarkEnd w:id="33"/>
      <w:bookmarkEnd w:id="34"/>
      <w:bookmarkEnd w:id="35"/>
      <w:bookmarkEnd w:id="36"/>
      <w:bookmarkEnd w:id="37"/>
    </w:p>
    <w:p>
      <w:pPr>
        <w:spacing w:line="580" w:lineRule="exact"/>
        <w:ind w:firstLine="640" w:firstLineChars="200"/>
        <w:rPr>
          <w:rFonts w:hint="default" w:ascii="Times New Roman" w:hAnsi="Times New Roman" w:eastAsia="仿宋" w:cs="Times New Roman"/>
          <w:color w:val="000000"/>
        </w:rPr>
      </w:pPr>
      <w:r>
        <w:rPr>
          <w:rFonts w:hint="default" w:ascii="Times New Roman" w:hAnsi="Times New Roman" w:cs="Times New Roman"/>
        </w:rPr>
        <w:pict>
          <v:shape id="_x0000_s1027" o:spid="_x0000_s1027" o:spt="202" type="#_x0000_t202" style="position:absolute;left:0pt;margin-left:45pt;margin-top:29.1pt;height:93.6pt;width:264.05pt;mso-wrap-style:none;z-index:251660288;mso-width-relative:page;mso-height-relative:page;" filled="f" stroked="f" coordsize="21600,21600">
            <v:path/>
            <v:fill on="f" focussize="0,0"/>
            <v:stroke on="f" joinstyle="miter"/>
            <v:imagedata o:title=""/>
            <o:lock v:ext="edit"/>
            <v:textbox>
              <w:txbxContent>
                <w:p/>
              </w:txbxContent>
            </v:textbox>
          </v:shape>
        </w:pict>
      </w:r>
      <w:r>
        <w:rPr>
          <w:rFonts w:hint="default" w:ascii="Times New Roman" w:hAnsi="Times New Roman" w:cs="Times New Roman"/>
          <w:color w:val="000000"/>
        </w:rPr>
        <w:t>202</w:t>
      </w:r>
      <w:r>
        <w:rPr>
          <w:rFonts w:hint="default" w:ascii="Times New Roman" w:hAnsi="Times New Roman" w:cs="Times New Roman"/>
          <w:color w:val="000000"/>
          <w:lang w:val="en-US" w:eastAsia="zh-CN"/>
        </w:rPr>
        <w:t>1</w:t>
      </w:r>
      <w:r>
        <w:rPr>
          <w:rFonts w:hint="default" w:ascii="Times New Roman" w:hAnsi="Times New Roman" w:cs="Times New Roman"/>
          <w:color w:val="000000"/>
        </w:rPr>
        <w:t>年本年收入合计</w:t>
      </w:r>
      <w:r>
        <w:rPr>
          <w:rFonts w:hint="default" w:ascii="Times New Roman" w:hAnsi="Times New Roman" w:cs="Times New Roman"/>
          <w:color w:val="000000"/>
          <w:lang w:val="en-US" w:eastAsia="zh-CN"/>
        </w:rPr>
        <w:t>2480.86</w:t>
      </w:r>
      <w:r>
        <w:rPr>
          <w:rFonts w:hint="default" w:ascii="Times New Roman" w:hAnsi="Times New Roman" w:cs="Times New Roman"/>
          <w:color w:val="000000"/>
        </w:rPr>
        <w:t>万元，其中：一般公共预算财政拨款收入</w:t>
      </w:r>
      <w:r>
        <w:rPr>
          <w:rFonts w:hint="default" w:ascii="Times New Roman" w:hAnsi="Times New Roman" w:cs="Times New Roman"/>
          <w:color w:val="000000"/>
          <w:lang w:val="en-US" w:eastAsia="zh-CN"/>
        </w:rPr>
        <w:t>2478.16</w:t>
      </w:r>
      <w:r>
        <w:rPr>
          <w:rFonts w:hint="default" w:ascii="Times New Roman" w:hAnsi="Times New Roman" w:cs="Times New Roman"/>
          <w:color w:val="000000"/>
        </w:rPr>
        <w:t>万元，占</w:t>
      </w:r>
      <w:r>
        <w:rPr>
          <w:rFonts w:hint="default" w:ascii="Times New Roman" w:hAnsi="Times New Roman" w:cs="Times New Roman"/>
          <w:color w:val="000000"/>
          <w:lang w:eastAsia="zh-CN"/>
        </w:rPr>
        <w:t>收入总额的</w:t>
      </w:r>
      <w:r>
        <w:rPr>
          <w:rFonts w:hint="default" w:ascii="Times New Roman" w:hAnsi="Times New Roman" w:cs="Times New Roman"/>
          <w:color w:val="000000"/>
          <w:lang w:val="en-US" w:eastAsia="zh-CN"/>
        </w:rPr>
        <w:t>99.89</w:t>
      </w:r>
      <w:r>
        <w:rPr>
          <w:rFonts w:hint="default" w:ascii="Times New Roman" w:hAnsi="Times New Roman" w:cs="Times New Roman"/>
          <w:color w:val="000000"/>
        </w:rPr>
        <w:t>%</w:t>
      </w:r>
      <w:r>
        <w:rPr>
          <w:rFonts w:hint="default" w:ascii="Times New Roman" w:hAnsi="Times New Roman" w:cs="Times New Roman"/>
          <w:color w:val="000000"/>
          <w:lang w:eastAsia="zh-CN"/>
        </w:rPr>
        <w:t>；其他收入</w:t>
      </w:r>
      <w:r>
        <w:rPr>
          <w:rFonts w:hint="default" w:ascii="Times New Roman" w:hAnsi="Times New Roman" w:cs="Times New Roman"/>
          <w:color w:val="000000"/>
          <w:lang w:val="en-US" w:eastAsia="zh-CN"/>
        </w:rPr>
        <w:t>2.7万元，</w:t>
      </w:r>
      <w:r>
        <w:rPr>
          <w:rFonts w:hint="default" w:ascii="Times New Roman" w:hAnsi="Times New Roman" w:eastAsia="仿宋_GB2312" w:cs="Times New Roman"/>
          <w:color w:val="000000"/>
          <w:sz w:val="32"/>
          <w:szCs w:val="32"/>
        </w:rPr>
        <w:t>为省政协拨省政协委员视察款</w:t>
      </w:r>
      <w:r>
        <w:rPr>
          <w:rFonts w:hint="default" w:ascii="Times New Roman" w:hAnsi="Times New Roman" w:cs="Times New Roman"/>
          <w:color w:val="000000"/>
          <w:sz w:val="32"/>
          <w:szCs w:val="32"/>
          <w:lang w:val="en-US" w:eastAsia="zh-CN"/>
        </w:rPr>
        <w:t>2.7万元</w:t>
      </w:r>
      <w:r>
        <w:rPr>
          <w:rFonts w:hint="default" w:ascii="Times New Roman" w:hAnsi="Times New Roman" w:cs="Times New Roman"/>
          <w:color w:val="000000"/>
          <w:sz w:val="32"/>
          <w:szCs w:val="32"/>
          <w:lang w:eastAsia="zh-CN"/>
        </w:rPr>
        <w:t>，</w:t>
      </w:r>
      <w:r>
        <w:rPr>
          <w:rFonts w:hint="default" w:ascii="Times New Roman" w:hAnsi="Times New Roman" w:cs="Times New Roman"/>
          <w:color w:val="000000"/>
          <w:lang w:val="en-US" w:eastAsia="zh-CN"/>
        </w:rPr>
        <w:t>占收入总额的0.11%</w:t>
      </w:r>
      <w:r>
        <w:rPr>
          <w:rFonts w:hint="default" w:ascii="Times New Roman" w:hAnsi="Times New Roman" w:cs="Times New Roman"/>
          <w:color w:val="000000"/>
        </w:rPr>
        <w:t>。</w:t>
      </w:r>
    </w:p>
    <w:p>
      <w:pPr>
        <w:spacing w:line="580" w:lineRule="exact"/>
        <w:rPr>
          <w:rFonts w:hint="default" w:ascii="Times New Roman" w:hAnsi="Times New Roman" w:eastAsia="仿宋" w:cs="Times New Roman"/>
          <w:color w:val="000000"/>
        </w:rPr>
      </w:pPr>
      <w:r>
        <w:rPr>
          <w:rFonts w:hint="default" w:ascii="Times New Roman" w:hAnsi="Times New Roman" w:cs="Times New Roman"/>
        </w:rPr>
        <w:pict>
          <v:shape id="_x0000_s1036" o:spid="_x0000_s1036" o:spt="75" type="#_x0000_t75" style="position:absolute;left:0pt;margin-left:22.05pt;margin-top:-6.6pt;height:157.5pt;width:324pt;z-index:251666432;mso-width-relative:page;mso-height-relative:page;" o:ole="t" filled="f" o:preferrelative="t" stroked="f" coordsize="21600,21600">
            <v:path/>
            <v:fill on="f" focussize="0,0"/>
            <v:stroke on="f"/>
            <v:imagedata r:id="rId8" o:title=""/>
            <o:lock v:ext="edit" aspectratio="t"/>
          </v:shape>
          <o:OLEObject Type="Embed" ProgID="MSGraph.Chart.8" ShapeID="_x0000_s1036" DrawAspect="Content" ObjectID="_1468075726" r:id="rId7">
            <o:LockedField>false</o:LockedField>
          </o:OLEObject>
        </w:pict>
      </w:r>
    </w:p>
    <w:p>
      <w:pPr>
        <w:spacing w:line="580" w:lineRule="exact"/>
        <w:ind w:firstLine="640" w:firstLineChars="200"/>
        <w:rPr>
          <w:rFonts w:hint="default" w:ascii="Times New Roman" w:hAnsi="Times New Roman" w:eastAsia="仿宋" w:cs="Times New Roman"/>
          <w:color w:val="000000"/>
        </w:rPr>
      </w:pPr>
    </w:p>
    <w:p>
      <w:pPr>
        <w:spacing w:line="580" w:lineRule="exact"/>
        <w:rPr>
          <w:rFonts w:hint="default" w:ascii="Times New Roman" w:hAnsi="Times New Roman" w:eastAsia="仿宋" w:cs="Times New Roman"/>
          <w:color w:val="000000"/>
        </w:rPr>
      </w:pPr>
    </w:p>
    <w:p>
      <w:pPr>
        <w:spacing w:line="580" w:lineRule="exact"/>
        <w:ind w:firstLine="640" w:firstLineChars="200"/>
        <w:rPr>
          <w:rFonts w:hint="default" w:ascii="Times New Roman" w:hAnsi="Times New Roman" w:eastAsia="仿宋" w:cs="Times New Roman"/>
          <w:color w:val="000000"/>
        </w:rPr>
      </w:pPr>
    </w:p>
    <w:p>
      <w:pPr>
        <w:spacing w:line="580" w:lineRule="exact"/>
        <w:rPr>
          <w:rFonts w:hint="default" w:ascii="Times New Roman" w:hAnsi="Times New Roman" w:eastAsia="仿宋" w:cs="Times New Roman"/>
          <w:color w:val="000000"/>
        </w:rPr>
      </w:pPr>
    </w:p>
    <w:p>
      <w:pPr>
        <w:spacing w:line="580" w:lineRule="exact"/>
        <w:ind w:firstLine="64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（图2：收入决算结构图）</w:t>
      </w:r>
    </w:p>
    <w:p>
      <w:pPr>
        <w:pStyle w:val="24"/>
        <w:spacing w:line="580" w:lineRule="exact"/>
        <w:ind w:left="640" w:firstLine="0" w:firstLineChars="0"/>
        <w:outlineLvl w:val="1"/>
        <w:rPr>
          <w:rStyle w:val="20"/>
          <w:rFonts w:hint="default" w:ascii="Times New Roman" w:hAnsi="Times New Roman" w:eastAsia="黑体" w:cs="Times New Roman"/>
          <w:b w:val="0"/>
          <w:bCs w:val="0"/>
        </w:rPr>
      </w:pPr>
      <w:bookmarkStart w:id="38" w:name="_Toc29729"/>
      <w:bookmarkStart w:id="39" w:name="_Toc15396605"/>
      <w:bookmarkStart w:id="40" w:name="_Toc3506"/>
      <w:bookmarkStart w:id="41" w:name="_Toc15377207"/>
      <w:bookmarkStart w:id="42" w:name="_Toc23027"/>
      <w:bookmarkStart w:id="43" w:name="_Toc2488"/>
      <w:r>
        <w:rPr>
          <w:rFonts w:hint="default" w:ascii="Times New Roman" w:hAnsi="Times New Roman" w:eastAsia="黑体" w:cs="Times New Roman"/>
          <w:color w:val="000000"/>
        </w:rPr>
        <w:t>三、支</w:t>
      </w:r>
      <w:r>
        <w:rPr>
          <w:rStyle w:val="20"/>
          <w:rFonts w:hint="default" w:ascii="Times New Roman" w:hAnsi="Times New Roman" w:eastAsia="黑体" w:cs="Times New Roman"/>
          <w:b w:val="0"/>
          <w:bCs w:val="0"/>
        </w:rPr>
        <w:t>出决算情况说明</w:t>
      </w:r>
      <w:bookmarkEnd w:id="38"/>
      <w:bookmarkEnd w:id="39"/>
      <w:bookmarkEnd w:id="40"/>
      <w:bookmarkEnd w:id="41"/>
      <w:bookmarkEnd w:id="42"/>
      <w:bookmarkEnd w:id="43"/>
    </w:p>
    <w:p>
      <w:pPr>
        <w:spacing w:line="580" w:lineRule="exact"/>
        <w:ind w:firstLine="640" w:firstLineChars="200"/>
        <w:rPr>
          <w:rFonts w:hint="default" w:ascii="Times New Roman" w:hAnsi="Times New Roman" w:cs="Times New Roman"/>
          <w:color w:val="FF0000"/>
        </w:rPr>
      </w:pPr>
      <w:r>
        <w:rPr>
          <w:rFonts w:hint="default" w:ascii="Times New Roman" w:hAnsi="Times New Roman" w:cs="Times New Roman"/>
          <w:color w:val="000000"/>
        </w:rPr>
        <w:t>202</w:t>
      </w:r>
      <w:r>
        <w:rPr>
          <w:rFonts w:hint="default" w:ascii="Times New Roman" w:hAnsi="Times New Roman" w:cs="Times New Roman"/>
          <w:color w:val="000000"/>
          <w:lang w:val="en-US" w:eastAsia="zh-CN"/>
        </w:rPr>
        <w:t>1</w:t>
      </w:r>
      <w:r>
        <w:rPr>
          <w:rFonts w:hint="default" w:ascii="Times New Roman" w:hAnsi="Times New Roman" w:cs="Times New Roman"/>
          <w:color w:val="000000"/>
        </w:rPr>
        <w:t>年本年支出合计</w:t>
      </w:r>
      <w:r>
        <w:rPr>
          <w:rFonts w:hint="default" w:ascii="Times New Roman" w:hAnsi="Times New Roman" w:cs="Times New Roman"/>
          <w:color w:val="000000"/>
          <w:lang w:val="en-US" w:eastAsia="zh-CN"/>
        </w:rPr>
        <w:t>2480.86</w:t>
      </w:r>
      <w:r>
        <w:rPr>
          <w:rFonts w:hint="default" w:ascii="Times New Roman" w:hAnsi="Times New Roman" w:cs="Times New Roman"/>
          <w:color w:val="000000"/>
        </w:rPr>
        <w:t>万元，其中</w:t>
      </w:r>
      <w:r>
        <w:rPr>
          <w:rFonts w:hint="default" w:ascii="Times New Roman" w:hAnsi="Times New Roman" w:cs="Times New Roman"/>
          <w:color w:val="000000"/>
          <w:lang w:eastAsia="zh-CN"/>
        </w:rPr>
        <w:t>：</w:t>
      </w:r>
      <w:r>
        <w:rPr>
          <w:rFonts w:hint="default" w:ascii="Times New Roman" w:hAnsi="Times New Roman" w:eastAsia="仿宋_GB2312" w:cs="Times New Roman"/>
          <w:sz w:val="32"/>
          <w:szCs w:val="32"/>
        </w:rPr>
        <w:t>基本支出2059.43万元，占支出总额的83.01%，项目支出4</w:t>
      </w:r>
      <w:r>
        <w:rPr>
          <w:rFonts w:hint="default" w:ascii="Times New Roman" w:hAnsi="Times New Roman" w:cs="Times New Roman"/>
          <w:sz w:val="32"/>
          <w:szCs w:val="32"/>
          <w:lang w:val="en-US" w:eastAsia="zh-CN"/>
        </w:rPr>
        <w:t>21.43</w:t>
      </w:r>
      <w:r>
        <w:rPr>
          <w:rFonts w:hint="default" w:ascii="Times New Roman" w:hAnsi="Times New Roman" w:eastAsia="仿宋_GB2312" w:cs="Times New Roman"/>
          <w:sz w:val="32"/>
          <w:szCs w:val="32"/>
        </w:rPr>
        <w:t>万元，占支出总额的16.</w:t>
      </w:r>
      <w:r>
        <w:rPr>
          <w:rFonts w:hint="default" w:ascii="Times New Roman" w:hAnsi="Times New Roman" w:cs="Times New Roman"/>
          <w:sz w:val="32"/>
          <w:szCs w:val="32"/>
          <w:lang w:val="en-US" w:eastAsia="zh-CN"/>
        </w:rPr>
        <w:t>99</w:t>
      </w:r>
      <w:r>
        <w:rPr>
          <w:rFonts w:hint="default" w:ascii="Times New Roman" w:hAnsi="Times New Roman" w:eastAsia="仿宋_GB2312" w:cs="Times New Roman"/>
          <w:sz w:val="32"/>
          <w:szCs w:val="32"/>
        </w:rPr>
        <w:t>%</w:t>
      </w:r>
      <w:r>
        <w:rPr>
          <w:rFonts w:hint="default" w:ascii="Times New Roman" w:hAnsi="Times New Roman" w:cs="Times New Roman"/>
          <w:color w:val="000000"/>
        </w:rPr>
        <w:t>。</w:t>
      </w:r>
    </w:p>
    <w:p>
      <w:pPr>
        <w:spacing w:line="580" w:lineRule="exact"/>
        <w:rPr>
          <w:rFonts w:hint="default" w:ascii="Times New Roman" w:hAnsi="Times New Roman" w:eastAsia="仿宋" w:cs="Times New Roman"/>
          <w:color w:val="000000"/>
          <w:shd w:val="pct10" w:color="auto" w:fill="FFFFFF"/>
        </w:rPr>
      </w:pPr>
      <w:r>
        <w:rPr>
          <w:rFonts w:hint="default" w:ascii="Times New Roman" w:hAnsi="Times New Roman" w:cs="Times New Roman"/>
        </w:rPr>
        <w:pict>
          <v:shape id="_x0000_s1028" o:spid="_x0000_s1028" o:spt="202" type="#_x0000_t202" style="position:absolute;left:0pt;margin-left:36pt;margin-top:5.6pt;height:170.6pt;width:297pt;mso-wrap-style:none;z-index:251661312;mso-width-relative:page;mso-height-relative:page;" filled="f" stroked="f" coordsize="21600,21600">
            <v:path/>
            <v:fill on="f" focussize="0,0"/>
            <v:stroke on="f" joinstyle="miter"/>
            <v:imagedata o:title=""/>
            <o:lock v:ext="edit"/>
            <v:textbox style="mso-fit-shape-to-text:t;">
              <w:txbxContent>
                <w:p>
                  <w:r>
                    <w:object>
                      <v:shape id="_x0000_i1026" o:spt="75" type="#_x0000_t75" style="height:155.85pt;width:324pt;" o:ole="t" filled="f" o:preferrelative="t" stroked="f" coordsize="21600,21600">
                        <v:path/>
                        <v:fill on="f" focussize="0,0"/>
                        <v:stroke on="f"/>
                        <v:imagedata r:id="rId10" o:title=""/>
                        <o:lock v:ext="edit" aspectratio="t"/>
                        <w10:wrap type="none"/>
                        <w10:anchorlock/>
                      </v:shape>
                      <o:OLEObject Type="Embed" ProgID="MSGraph.Chart.8" ShapeID="_x0000_i1026" DrawAspect="Content" ObjectID="_1468075727" r:id="rId9">
                        <o:LockedField>false</o:LockedField>
                      </o:OLEObject>
                    </w:object>
                  </w:r>
                </w:p>
              </w:txbxContent>
            </v:textbox>
          </v:shape>
        </w:pict>
      </w:r>
    </w:p>
    <w:p>
      <w:pPr>
        <w:spacing w:line="580" w:lineRule="exact"/>
        <w:ind w:firstLine="640"/>
        <w:rPr>
          <w:rFonts w:hint="default" w:ascii="Times New Roman" w:hAnsi="Times New Roman" w:eastAsia="仿宋" w:cs="Times New Roman"/>
          <w:color w:val="000000"/>
          <w:shd w:val="pct10" w:color="auto" w:fill="FFFFFF"/>
        </w:rPr>
      </w:pPr>
    </w:p>
    <w:p>
      <w:pPr>
        <w:spacing w:line="580" w:lineRule="exact"/>
        <w:ind w:firstLine="640"/>
        <w:rPr>
          <w:rFonts w:hint="default" w:ascii="Times New Roman" w:hAnsi="Times New Roman" w:eastAsia="仿宋" w:cs="Times New Roman"/>
          <w:color w:val="000000"/>
          <w:shd w:val="pct10" w:color="auto" w:fill="FFFFFF"/>
        </w:rPr>
      </w:pPr>
    </w:p>
    <w:p>
      <w:pPr>
        <w:spacing w:line="580" w:lineRule="exact"/>
        <w:ind w:firstLine="640"/>
        <w:rPr>
          <w:rFonts w:hint="default" w:ascii="Times New Roman" w:hAnsi="Times New Roman" w:eastAsia="仿宋" w:cs="Times New Roman"/>
          <w:color w:val="000000"/>
          <w:shd w:val="pct10" w:color="auto" w:fill="FFFFFF"/>
        </w:rPr>
      </w:pPr>
    </w:p>
    <w:p>
      <w:pPr>
        <w:spacing w:line="580" w:lineRule="exact"/>
        <w:rPr>
          <w:rFonts w:hint="default" w:ascii="Times New Roman" w:hAnsi="Times New Roman" w:eastAsia="仿宋" w:cs="Times New Roman"/>
          <w:color w:val="000000"/>
        </w:rPr>
      </w:pPr>
    </w:p>
    <w:p>
      <w:pPr>
        <w:spacing w:line="580" w:lineRule="exact"/>
        <w:ind w:firstLine="64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（图3：支出决算结构图）</w:t>
      </w:r>
    </w:p>
    <w:p>
      <w:pPr>
        <w:spacing w:line="580" w:lineRule="exact"/>
        <w:ind w:firstLine="640" w:firstLineChars="200"/>
        <w:outlineLvl w:val="1"/>
        <w:rPr>
          <w:rStyle w:val="20"/>
          <w:rFonts w:hint="default" w:ascii="Times New Roman" w:hAnsi="Times New Roman" w:eastAsia="黑体" w:cs="Times New Roman"/>
          <w:b w:val="0"/>
          <w:bCs w:val="0"/>
        </w:rPr>
      </w:pPr>
      <w:bookmarkStart w:id="44" w:name="_Toc26874"/>
      <w:bookmarkStart w:id="45" w:name="_Toc15396606"/>
      <w:bookmarkStart w:id="46" w:name="_Toc15377208"/>
      <w:bookmarkStart w:id="47" w:name="_Toc12199"/>
      <w:bookmarkStart w:id="48" w:name="_Toc10686"/>
      <w:bookmarkStart w:id="49" w:name="_Toc29362"/>
      <w:r>
        <w:rPr>
          <w:rFonts w:hint="default" w:ascii="Times New Roman" w:hAnsi="Times New Roman" w:eastAsia="黑体" w:cs="Times New Roman"/>
          <w:color w:val="000000"/>
        </w:rPr>
        <w:t>四、财</w:t>
      </w:r>
      <w:r>
        <w:rPr>
          <w:rStyle w:val="20"/>
          <w:rFonts w:hint="default" w:ascii="Times New Roman" w:hAnsi="Times New Roman" w:eastAsia="黑体" w:cs="Times New Roman"/>
          <w:b w:val="0"/>
          <w:bCs w:val="0"/>
        </w:rPr>
        <w:t>政拨款收入支出决算总体情况说明</w:t>
      </w:r>
      <w:bookmarkEnd w:id="44"/>
      <w:bookmarkEnd w:id="45"/>
      <w:bookmarkEnd w:id="46"/>
      <w:bookmarkEnd w:id="47"/>
      <w:bookmarkEnd w:id="48"/>
      <w:bookmarkEnd w:id="49"/>
    </w:p>
    <w:p>
      <w:pPr>
        <w:snapToGrid w:val="0"/>
        <w:spacing w:line="580" w:lineRule="exact"/>
        <w:ind w:firstLine="640" w:firstLineChars="200"/>
        <w:rPr>
          <w:rFonts w:hint="default" w:ascii="Times New Roman" w:hAnsi="Times New Roman" w:cs="Times New Roman"/>
          <w:color w:val="000000"/>
        </w:rPr>
      </w:pPr>
      <w:r>
        <w:rPr>
          <w:rFonts w:hint="default" w:ascii="Times New Roman" w:hAnsi="Times New Roman" w:cs="Times New Roman"/>
        </w:rPr>
        <w:pict>
          <v:shape id="_x0000_s1029" o:spid="_x0000_s1029" o:spt="202" type="#_x0000_t202" style="position:absolute;left:0pt;margin-left:44pt;margin-top:159.6pt;height:194.4pt;width:276.3pt;mso-wrap-style:none;z-index:251663360;mso-width-relative:page;mso-height-relative:page;" filled="f" stroked="f" coordsize="21600,21600">
            <v:path/>
            <v:fill on="f" focussize="0,0"/>
            <v:stroke on="f" joinstyle="miter"/>
            <v:imagedata o:title=""/>
            <o:lock v:ext="edit"/>
            <v:textbox style="mso-fit-shape-to-text:t;">
              <w:txbxContent>
                <w:p/>
              </w:txbxContent>
            </v:textbox>
          </v:shape>
        </w:pict>
      </w:r>
      <w:r>
        <w:rPr>
          <w:rFonts w:hint="default" w:ascii="Times New Roman" w:hAnsi="Times New Roman" w:cs="Times New Roman"/>
          <w:color w:val="000000"/>
        </w:rPr>
        <w:t>202</w:t>
      </w:r>
      <w:r>
        <w:rPr>
          <w:rFonts w:hint="default" w:ascii="Times New Roman" w:hAnsi="Times New Roman" w:cs="Times New Roman"/>
          <w:color w:val="000000"/>
          <w:lang w:val="en-US" w:eastAsia="zh-CN"/>
        </w:rPr>
        <w:t>1</w:t>
      </w:r>
      <w:r>
        <w:rPr>
          <w:rFonts w:hint="default" w:ascii="Times New Roman" w:hAnsi="Times New Roman" w:cs="Times New Roman"/>
          <w:color w:val="000000"/>
        </w:rPr>
        <w:t>年财政拨款收、支总计</w:t>
      </w:r>
      <w:r>
        <w:rPr>
          <w:rFonts w:hint="default" w:ascii="Times New Roman" w:hAnsi="Times New Roman" w:cs="Times New Roman"/>
          <w:color w:val="000000"/>
          <w:lang w:val="en-US" w:eastAsia="zh-CN"/>
        </w:rPr>
        <w:t>2478.16</w:t>
      </w:r>
      <w:r>
        <w:rPr>
          <w:rFonts w:hint="default" w:ascii="Times New Roman" w:hAnsi="Times New Roman" w:cs="Times New Roman"/>
          <w:color w:val="000000"/>
        </w:rPr>
        <w:t>万元。与20</w:t>
      </w:r>
      <w:r>
        <w:rPr>
          <w:rFonts w:hint="default" w:ascii="Times New Roman" w:hAnsi="Times New Roman" w:cs="Times New Roman"/>
          <w:color w:val="000000"/>
          <w:lang w:val="en-US" w:eastAsia="zh-CN"/>
        </w:rPr>
        <w:t>20</w:t>
      </w:r>
      <w:r>
        <w:rPr>
          <w:rFonts w:hint="default" w:ascii="Times New Roman" w:hAnsi="Times New Roman" w:cs="Times New Roman"/>
          <w:color w:val="000000"/>
        </w:rPr>
        <w:t>年相比，财政拨款收、支总计</w:t>
      </w:r>
      <w:r>
        <w:rPr>
          <w:rFonts w:hint="default" w:ascii="Times New Roman" w:hAnsi="Times New Roman" w:cs="Times New Roman"/>
          <w:color w:val="000000"/>
          <w:lang w:eastAsia="zh-CN"/>
        </w:rPr>
        <w:t>各增加</w:t>
      </w:r>
      <w:r>
        <w:rPr>
          <w:rFonts w:hint="default" w:ascii="Times New Roman" w:hAnsi="Times New Roman" w:cs="Times New Roman"/>
          <w:color w:val="000000"/>
          <w:lang w:val="en-US" w:eastAsia="zh-CN"/>
        </w:rPr>
        <w:t>247.82</w:t>
      </w:r>
      <w:r>
        <w:rPr>
          <w:rFonts w:hint="default" w:ascii="Times New Roman" w:hAnsi="Times New Roman" w:cs="Times New Roman"/>
          <w:color w:val="000000"/>
        </w:rPr>
        <w:t>万元，</w:t>
      </w:r>
      <w:r>
        <w:rPr>
          <w:rFonts w:hint="default" w:ascii="Times New Roman" w:hAnsi="Times New Roman" w:cs="Times New Roman"/>
          <w:color w:val="000000"/>
          <w:lang w:eastAsia="zh-CN"/>
        </w:rPr>
        <w:t>增长</w:t>
      </w:r>
      <w:r>
        <w:rPr>
          <w:rFonts w:hint="default" w:ascii="Times New Roman" w:hAnsi="Times New Roman" w:cs="Times New Roman"/>
          <w:color w:val="000000"/>
          <w:lang w:val="en-US" w:eastAsia="zh-CN"/>
        </w:rPr>
        <w:t>11.11</w:t>
      </w:r>
      <w:r>
        <w:rPr>
          <w:rFonts w:hint="default" w:ascii="Times New Roman" w:hAnsi="Times New Roman" w:cs="Times New Roman"/>
          <w:color w:val="000000"/>
        </w:rPr>
        <w:t>%。</w:t>
      </w:r>
      <w:r>
        <w:rPr>
          <w:rFonts w:hint="default" w:ascii="Times New Roman" w:hAnsi="Times New Roman" w:cs="Times New Roman"/>
          <w:color w:val="000000"/>
          <w:highlight w:val="none"/>
        </w:rPr>
        <w:t>主要变动原因：</w:t>
      </w:r>
      <w:r>
        <w:rPr>
          <w:rFonts w:hint="default" w:ascii="Times New Roman" w:hAnsi="Times New Roman" w:eastAsia="仿宋_GB2312" w:cs="Times New Roman"/>
          <w:sz w:val="32"/>
          <w:szCs w:val="32"/>
        </w:rPr>
        <w:t>一是由于人员的变化相应增加基本工资、津贴补贴、奖金、其他工资和福利、医保、住房公积金等及其他人头经费支出；二是离退休职工去世丧葬抚恤费较上年增长63.32%；三是追加文史资料委托管理专项、《人民政协提案工作理论与自贡实践》编印专项；四是2021年老干部省外疗休养，相应增加支出。</w:t>
      </w:r>
    </w:p>
    <w:p>
      <w:pPr>
        <w:spacing w:line="580" w:lineRule="exact"/>
        <w:ind w:firstLine="640"/>
        <w:rPr>
          <w:rFonts w:hint="default" w:ascii="Times New Roman" w:hAnsi="Times New Roman" w:eastAsia="仿宋" w:cs="Times New Roman"/>
          <w:color w:val="FF0000"/>
        </w:rPr>
      </w:pPr>
      <w:r>
        <w:rPr>
          <w:rFonts w:hint="default" w:ascii="Times New Roman" w:hAnsi="Times New Roman" w:cs="Times New Roman"/>
        </w:rPr>
        <w:pict>
          <v:shape id="_x0000_s1037" o:spid="_x0000_s1037" o:spt="75" type="#_x0000_t75" style="position:absolute;left:0pt;margin-left:54.8pt;margin-top:16.85pt;height:168.65pt;width:257.25pt;z-index:251667456;mso-width-relative:page;mso-height-relative:page;" o:ole="t" filled="f" o:preferrelative="t" stroked="f" coordsize="21600,21600">
            <v:path/>
            <v:fill on="f" focussize="0,0"/>
            <v:stroke on="f"/>
            <v:imagedata r:id="rId12" o:title=""/>
            <o:lock v:ext="edit" aspectratio="t"/>
          </v:shape>
          <o:OLEObject Type="Embed" ProgID="MSGraph.Chart.8" ShapeID="_x0000_s1037" DrawAspect="Content" ObjectID="_1468075728" r:id="rId11">
            <o:LockedField>false</o:LockedField>
          </o:OLEObject>
        </w:pict>
      </w:r>
    </w:p>
    <w:p>
      <w:pPr>
        <w:spacing w:line="580" w:lineRule="exact"/>
        <w:ind w:firstLine="640"/>
        <w:rPr>
          <w:rFonts w:hint="default" w:ascii="Times New Roman" w:hAnsi="Times New Roman" w:eastAsia="仿宋" w:cs="Times New Roman"/>
          <w:color w:val="FF0000"/>
        </w:rPr>
      </w:pPr>
    </w:p>
    <w:p>
      <w:pPr>
        <w:spacing w:line="580" w:lineRule="exact"/>
        <w:ind w:firstLine="640"/>
        <w:rPr>
          <w:rFonts w:hint="default" w:ascii="Times New Roman" w:hAnsi="Times New Roman" w:eastAsia="仿宋" w:cs="Times New Roman"/>
          <w:color w:val="FF0000"/>
        </w:rPr>
      </w:pPr>
    </w:p>
    <w:p>
      <w:pPr>
        <w:spacing w:line="580" w:lineRule="exact"/>
        <w:ind w:firstLine="640"/>
        <w:rPr>
          <w:rFonts w:hint="default" w:ascii="Times New Roman" w:hAnsi="Times New Roman" w:eastAsia="仿宋" w:cs="Times New Roman"/>
          <w:color w:val="FF0000"/>
        </w:rPr>
      </w:pPr>
    </w:p>
    <w:p>
      <w:pPr>
        <w:spacing w:line="580" w:lineRule="exact"/>
        <w:rPr>
          <w:rFonts w:hint="default" w:ascii="Times New Roman" w:hAnsi="Times New Roman" w:eastAsia="仿宋" w:cs="Times New Roman"/>
          <w:color w:val="000000"/>
        </w:rPr>
      </w:pPr>
    </w:p>
    <w:p>
      <w:pPr>
        <w:pStyle w:val="11"/>
        <w:outlineLvl w:val="9"/>
        <w:rPr>
          <w:rFonts w:hint="default" w:ascii="Times New Roman" w:hAnsi="Times New Roman" w:cs="Times New Roman"/>
        </w:rPr>
      </w:pPr>
    </w:p>
    <w:p>
      <w:pPr>
        <w:spacing w:line="580" w:lineRule="exact"/>
        <w:ind w:firstLine="64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（图4：财政拨款收、支决算总计变动情况）</w:t>
      </w:r>
    </w:p>
    <w:p>
      <w:pPr>
        <w:spacing w:line="580" w:lineRule="exact"/>
        <w:ind w:firstLine="640" w:firstLineChars="200"/>
        <w:outlineLvl w:val="1"/>
        <w:rPr>
          <w:rStyle w:val="20"/>
          <w:rFonts w:hint="default" w:ascii="Times New Roman" w:hAnsi="Times New Roman" w:eastAsia="黑体" w:cs="Times New Roman"/>
          <w:b w:val="0"/>
          <w:bCs w:val="0"/>
        </w:rPr>
      </w:pPr>
      <w:bookmarkStart w:id="50" w:name="_Toc28747"/>
      <w:bookmarkStart w:id="51" w:name="_Toc15396607"/>
      <w:bookmarkStart w:id="52" w:name="_Toc10568"/>
      <w:bookmarkStart w:id="53" w:name="_Toc16242"/>
      <w:bookmarkStart w:id="54" w:name="_Toc19085"/>
      <w:bookmarkStart w:id="55" w:name="_Toc15377209"/>
      <w:r>
        <w:rPr>
          <w:rFonts w:hint="default" w:ascii="Times New Roman" w:hAnsi="Times New Roman" w:eastAsia="黑体" w:cs="Times New Roman"/>
          <w:color w:val="000000"/>
        </w:rPr>
        <w:t>五、一</w:t>
      </w:r>
      <w:r>
        <w:rPr>
          <w:rStyle w:val="20"/>
          <w:rFonts w:hint="default" w:ascii="Times New Roman" w:hAnsi="Times New Roman" w:eastAsia="黑体" w:cs="Times New Roman"/>
          <w:b w:val="0"/>
          <w:bCs w:val="0"/>
        </w:rPr>
        <w:t>般公共预算财政拨款支出决算情况说明</w:t>
      </w:r>
      <w:bookmarkEnd w:id="50"/>
      <w:bookmarkEnd w:id="51"/>
      <w:bookmarkEnd w:id="52"/>
      <w:bookmarkEnd w:id="53"/>
      <w:bookmarkEnd w:id="54"/>
      <w:bookmarkEnd w:id="55"/>
    </w:p>
    <w:p>
      <w:pPr>
        <w:spacing w:line="580" w:lineRule="exact"/>
        <w:ind w:firstLine="643" w:firstLineChars="200"/>
        <w:outlineLvl w:val="2"/>
        <w:rPr>
          <w:rFonts w:hint="default" w:ascii="Times New Roman" w:hAnsi="Times New Roman" w:eastAsia="楷体" w:cs="Times New Roman"/>
          <w:b/>
          <w:bCs/>
          <w:color w:val="000000"/>
        </w:rPr>
      </w:pPr>
      <w:bookmarkStart w:id="56" w:name="_Toc15377210"/>
      <w:r>
        <w:rPr>
          <w:rFonts w:hint="default" w:ascii="Times New Roman" w:hAnsi="Times New Roman" w:eastAsia="楷体" w:cs="Times New Roman"/>
          <w:b/>
          <w:bCs/>
          <w:color w:val="000000"/>
        </w:rPr>
        <w:t>（一）一般公共预算财政拨款支出决算总体情况</w:t>
      </w:r>
      <w:bookmarkEnd w:id="56"/>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cs="Times New Roman"/>
          <w:color w:val="000000"/>
        </w:rPr>
        <w:t>202</w:t>
      </w:r>
      <w:r>
        <w:rPr>
          <w:rFonts w:hint="default" w:ascii="Times New Roman" w:hAnsi="Times New Roman" w:cs="Times New Roman"/>
          <w:color w:val="000000"/>
          <w:lang w:val="en-US" w:eastAsia="zh-CN"/>
        </w:rPr>
        <w:t>1</w:t>
      </w:r>
      <w:r>
        <w:rPr>
          <w:rFonts w:hint="default" w:ascii="Times New Roman" w:hAnsi="Times New Roman" w:cs="Times New Roman"/>
          <w:color w:val="000000"/>
        </w:rPr>
        <w:t>年一般公共预算财政拨款支出</w:t>
      </w:r>
      <w:r>
        <w:rPr>
          <w:rFonts w:hint="default" w:ascii="Times New Roman" w:hAnsi="Times New Roman" w:cs="Times New Roman"/>
          <w:color w:val="000000"/>
          <w:lang w:val="en-US" w:eastAsia="zh-CN"/>
        </w:rPr>
        <w:t>2478.16</w:t>
      </w:r>
      <w:r>
        <w:rPr>
          <w:rFonts w:hint="default" w:ascii="Times New Roman" w:hAnsi="Times New Roman" w:cs="Times New Roman"/>
          <w:color w:val="000000"/>
        </w:rPr>
        <w:t>万元，占本年支出合计的</w:t>
      </w:r>
      <w:r>
        <w:rPr>
          <w:rFonts w:hint="default" w:ascii="Times New Roman" w:hAnsi="Times New Roman" w:cs="Times New Roman"/>
          <w:color w:val="000000"/>
          <w:lang w:val="en-US" w:eastAsia="zh-CN"/>
        </w:rPr>
        <w:t>99.89</w:t>
      </w:r>
      <w:r>
        <w:rPr>
          <w:rFonts w:hint="default" w:ascii="Times New Roman" w:hAnsi="Times New Roman" w:cs="Times New Roman"/>
          <w:color w:val="000000"/>
        </w:rPr>
        <w:t>%。与20</w:t>
      </w:r>
      <w:r>
        <w:rPr>
          <w:rFonts w:hint="default" w:ascii="Times New Roman" w:hAnsi="Times New Roman" w:cs="Times New Roman"/>
          <w:color w:val="000000"/>
          <w:lang w:val="en-US" w:eastAsia="zh-CN"/>
        </w:rPr>
        <w:t>20</w:t>
      </w:r>
      <w:r>
        <w:rPr>
          <w:rFonts w:hint="default" w:ascii="Times New Roman" w:hAnsi="Times New Roman" w:cs="Times New Roman"/>
          <w:color w:val="000000"/>
        </w:rPr>
        <w:t>年相比，一般公共预算财政拨款</w:t>
      </w:r>
      <w:r>
        <w:rPr>
          <w:rFonts w:hint="default" w:ascii="Times New Roman" w:hAnsi="Times New Roman" w:cs="Times New Roman"/>
          <w:color w:val="000000"/>
          <w:lang w:eastAsia="zh-CN"/>
        </w:rPr>
        <w:t>支出增加</w:t>
      </w:r>
      <w:r>
        <w:rPr>
          <w:rFonts w:hint="default" w:ascii="Times New Roman" w:hAnsi="Times New Roman" w:cs="Times New Roman"/>
          <w:color w:val="000000"/>
          <w:lang w:val="en-US" w:eastAsia="zh-CN"/>
        </w:rPr>
        <w:t>247.82</w:t>
      </w:r>
      <w:r>
        <w:rPr>
          <w:rFonts w:hint="default" w:ascii="Times New Roman" w:hAnsi="Times New Roman" w:cs="Times New Roman"/>
          <w:color w:val="000000"/>
        </w:rPr>
        <w:t>万元，</w:t>
      </w:r>
      <w:r>
        <w:rPr>
          <w:rFonts w:hint="default" w:ascii="Times New Roman" w:hAnsi="Times New Roman" w:cs="Times New Roman"/>
          <w:color w:val="000000"/>
          <w:lang w:eastAsia="zh-CN"/>
        </w:rPr>
        <w:t>增长</w:t>
      </w:r>
      <w:r>
        <w:rPr>
          <w:rFonts w:hint="default" w:ascii="Times New Roman" w:hAnsi="Times New Roman" w:cs="Times New Roman"/>
          <w:color w:val="000000"/>
          <w:lang w:val="en-US" w:eastAsia="zh-CN"/>
        </w:rPr>
        <w:t>11.11</w:t>
      </w:r>
      <w:r>
        <w:rPr>
          <w:rFonts w:hint="default" w:ascii="Times New Roman" w:hAnsi="Times New Roman" w:cs="Times New Roman"/>
          <w:color w:val="000000"/>
        </w:rPr>
        <w:t>%。</w:t>
      </w:r>
      <w:r>
        <w:rPr>
          <w:rFonts w:hint="default" w:ascii="Times New Roman" w:hAnsi="Times New Roman" w:eastAsia="仿宋_GB2312" w:cs="Times New Roman"/>
          <w:sz w:val="32"/>
          <w:szCs w:val="32"/>
        </w:rPr>
        <w:t>一是由于人员的变化相应增加基本工资、津贴补贴、奖金、其他工资和福利、医保、住房公积金等及其他人头经费支出；二是离退休职工去世丧葬抚恤费较上年增长63.32%；三是追加文史资料委托管理专项、《人民政协提案工作理论与自贡实践》编印专项；四是2021年老干部省外疗休养，相应增加支出。</w:t>
      </w:r>
    </w:p>
    <w:p>
      <w:pPr>
        <w:snapToGrid w:val="0"/>
        <w:spacing w:line="580" w:lineRule="exact"/>
        <w:ind w:firstLine="640" w:firstLineChars="200"/>
        <w:rPr>
          <w:rFonts w:hint="default" w:ascii="Times New Roman" w:hAnsi="Times New Roman" w:eastAsia="仿宋_GB2312" w:cs="Times New Roman"/>
          <w:sz w:val="32"/>
          <w:szCs w:val="32"/>
        </w:rPr>
      </w:pPr>
    </w:p>
    <w:p>
      <w:pPr>
        <w:snapToGrid w:val="0"/>
        <w:spacing w:line="580" w:lineRule="exact"/>
        <w:ind w:firstLine="640" w:firstLineChars="200"/>
        <w:rPr>
          <w:rFonts w:hint="default" w:ascii="Times New Roman" w:hAnsi="Times New Roman" w:cs="Times New Roman"/>
          <w:color w:val="000000"/>
        </w:rPr>
      </w:pPr>
      <w:r>
        <w:rPr>
          <w:rFonts w:hint="default" w:ascii="Times New Roman" w:hAnsi="Times New Roman" w:cs="Times New Roman"/>
        </w:rPr>
        <w:pict>
          <v:shape id="_x0000_s1038" o:spid="_x0000_s1038" o:spt="75" type="#_x0000_t75" style="position:absolute;left:0pt;margin-left:47.7pt;margin-top:1.55pt;height:179.2pt;width:267pt;z-index:251668480;mso-width-relative:page;mso-height-relative:page;" o:ole="t" filled="f" o:preferrelative="t" stroked="f" coordsize="21600,21600">
            <v:path/>
            <v:fill on="f" focussize="0,0"/>
            <v:stroke on="f"/>
            <v:imagedata r:id="rId14" o:title=""/>
            <o:lock v:ext="edit" aspectratio="t"/>
          </v:shape>
          <o:OLEObject Type="Embed" ProgID="MSGraph.Chart.8" ShapeID="_x0000_s1038" DrawAspect="Content" ObjectID="_1468075729" r:id="rId13">
            <o:LockedField>false</o:LockedField>
          </o:OLEObject>
        </w:pict>
      </w:r>
      <w:r>
        <w:rPr>
          <w:rFonts w:hint="default" w:ascii="Times New Roman" w:hAnsi="Times New Roman" w:cs="Times New Roman"/>
        </w:rPr>
        <w:pict>
          <v:shape id="_x0000_s1030" o:spid="_x0000_s1030" o:spt="202" type="#_x0000_t202" style="position:absolute;left:0pt;margin-left:45pt;margin-top:15.2pt;height:194.4pt;width:286.1pt;mso-wrap-style:none;z-index:251663360;mso-width-relative:page;mso-height-relative:page;" filled="f" stroked="f" coordsize="21600,21600">
            <v:path/>
            <v:fill on="f" focussize="0,0"/>
            <v:stroke on="f" joinstyle="miter"/>
            <v:imagedata o:title=""/>
            <o:lock v:ext="edit"/>
            <v:textbox style="mso-fit-shape-to-text:t;">
              <w:txbxContent>
                <w:p/>
              </w:txbxContent>
            </v:textbox>
          </v:shape>
        </w:pict>
      </w:r>
    </w:p>
    <w:p>
      <w:pPr>
        <w:spacing w:line="580" w:lineRule="exact"/>
        <w:ind w:firstLine="640" w:firstLineChars="200"/>
        <w:rPr>
          <w:rFonts w:hint="default" w:ascii="Times New Roman" w:hAnsi="Times New Roman" w:eastAsia="仿宋" w:cs="Times New Roman"/>
          <w:color w:val="000000"/>
        </w:rPr>
      </w:pPr>
    </w:p>
    <w:p>
      <w:pPr>
        <w:spacing w:line="580" w:lineRule="exact"/>
        <w:ind w:firstLine="640" w:firstLineChars="200"/>
        <w:rPr>
          <w:rFonts w:hint="default" w:ascii="Times New Roman" w:hAnsi="Times New Roman" w:eastAsia="仿宋" w:cs="Times New Roman"/>
          <w:color w:val="000000"/>
        </w:rPr>
      </w:pPr>
    </w:p>
    <w:p>
      <w:pPr>
        <w:pStyle w:val="11"/>
        <w:outlineLvl w:val="9"/>
        <w:rPr>
          <w:rFonts w:hint="default" w:ascii="Times New Roman" w:hAnsi="Times New Roman" w:cs="Times New Roman"/>
        </w:rPr>
      </w:pPr>
    </w:p>
    <w:p>
      <w:pPr>
        <w:spacing w:line="580" w:lineRule="exact"/>
        <w:rPr>
          <w:rFonts w:hint="default" w:ascii="Times New Roman" w:hAnsi="Times New Roman" w:eastAsia="仿宋" w:cs="Times New Roman"/>
          <w:color w:val="000000"/>
        </w:rPr>
      </w:pPr>
    </w:p>
    <w:p>
      <w:pPr>
        <w:spacing w:line="580" w:lineRule="exact"/>
        <w:ind w:firstLine="64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（图5：一般公共预算财政拨款支出决算变动情况）</w:t>
      </w:r>
    </w:p>
    <w:p>
      <w:pPr>
        <w:spacing w:line="580" w:lineRule="exact"/>
        <w:ind w:firstLine="643" w:firstLineChars="200"/>
        <w:outlineLvl w:val="2"/>
        <w:rPr>
          <w:rFonts w:hint="default" w:ascii="Times New Roman" w:hAnsi="Times New Roman" w:eastAsia="楷体" w:cs="Times New Roman"/>
          <w:b/>
          <w:bCs/>
          <w:color w:val="000000"/>
        </w:rPr>
      </w:pPr>
      <w:bookmarkStart w:id="57" w:name="_Toc15377211"/>
      <w:r>
        <w:rPr>
          <w:rFonts w:hint="default" w:ascii="Times New Roman" w:hAnsi="Times New Roman" w:eastAsia="楷体" w:cs="Times New Roman"/>
          <w:b/>
          <w:bCs/>
          <w:color w:val="000000"/>
        </w:rPr>
        <w:t>（二）一般公共预算财政拨款支出决算结构情况</w:t>
      </w:r>
      <w:bookmarkEnd w:id="57"/>
    </w:p>
    <w:p>
      <w:pPr>
        <w:spacing w:line="580" w:lineRule="exact"/>
        <w:ind w:firstLine="641"/>
        <w:rPr>
          <w:rFonts w:hint="default" w:ascii="Times New Roman" w:hAnsi="Times New Roman" w:eastAsia="仿宋" w:cs="Times New Roman"/>
          <w:color w:val="000000"/>
        </w:rPr>
      </w:pPr>
      <w:r>
        <w:rPr>
          <w:rFonts w:hint="default" w:ascii="Times New Roman" w:hAnsi="Times New Roman" w:cs="Times New Roman"/>
          <w:color w:val="000000"/>
        </w:rPr>
        <w:t>202</w:t>
      </w:r>
      <w:r>
        <w:rPr>
          <w:rFonts w:hint="default" w:ascii="Times New Roman" w:hAnsi="Times New Roman" w:cs="Times New Roman"/>
          <w:color w:val="000000"/>
          <w:lang w:val="en-US" w:eastAsia="zh-CN"/>
        </w:rPr>
        <w:t>1</w:t>
      </w:r>
      <w:r>
        <w:rPr>
          <w:rFonts w:hint="default" w:ascii="Times New Roman" w:hAnsi="Times New Roman" w:cs="Times New Roman"/>
          <w:color w:val="000000"/>
        </w:rPr>
        <w:t>年一般公共预算财政拨款支出2</w:t>
      </w:r>
      <w:r>
        <w:rPr>
          <w:rFonts w:hint="default" w:ascii="Times New Roman" w:hAnsi="Times New Roman" w:cs="Times New Roman"/>
          <w:color w:val="000000"/>
          <w:lang w:val="en-US" w:eastAsia="zh-CN"/>
        </w:rPr>
        <w:t>478.16</w:t>
      </w:r>
      <w:r>
        <w:rPr>
          <w:rFonts w:hint="default" w:ascii="Times New Roman" w:hAnsi="Times New Roman" w:cs="Times New Roman"/>
          <w:color w:val="000000"/>
        </w:rPr>
        <w:t>万元，主要用于以下方面:</w:t>
      </w:r>
      <w:r>
        <w:rPr>
          <w:rFonts w:hint="default" w:ascii="Times New Roman" w:hAnsi="Times New Roman" w:cs="Times New Roman"/>
          <w:b/>
          <w:bCs/>
          <w:color w:val="000000"/>
        </w:rPr>
        <w:t>一般公共服务（类）支出</w:t>
      </w:r>
      <w:r>
        <w:rPr>
          <w:rFonts w:hint="default" w:ascii="Times New Roman" w:hAnsi="Times New Roman" w:cs="Times New Roman"/>
          <w:color w:val="000000"/>
          <w:lang w:val="en-US" w:eastAsia="zh-CN"/>
        </w:rPr>
        <w:t>1857.2</w:t>
      </w:r>
      <w:r>
        <w:rPr>
          <w:rFonts w:hint="default" w:ascii="Times New Roman" w:hAnsi="Times New Roman" w:cs="Times New Roman"/>
          <w:color w:val="000000"/>
        </w:rPr>
        <w:t>万元，占7</w:t>
      </w:r>
      <w:r>
        <w:rPr>
          <w:rFonts w:hint="default" w:ascii="Times New Roman" w:hAnsi="Times New Roman" w:cs="Times New Roman"/>
          <w:color w:val="000000"/>
          <w:lang w:val="en-US" w:eastAsia="zh-CN"/>
        </w:rPr>
        <w:t>4.94</w:t>
      </w:r>
      <w:r>
        <w:rPr>
          <w:rFonts w:hint="default" w:ascii="Times New Roman" w:hAnsi="Times New Roman" w:cs="Times New Roman"/>
          <w:color w:val="000000"/>
        </w:rPr>
        <w:t>%；</w:t>
      </w:r>
      <w:r>
        <w:rPr>
          <w:rFonts w:hint="default" w:ascii="Times New Roman" w:hAnsi="Times New Roman" w:cs="Times New Roman"/>
          <w:b/>
          <w:bCs/>
          <w:color w:val="000000"/>
        </w:rPr>
        <w:t>社会保障和就业（类）支出</w:t>
      </w:r>
      <w:r>
        <w:rPr>
          <w:rFonts w:hint="default" w:ascii="Times New Roman" w:hAnsi="Times New Roman" w:cs="Times New Roman"/>
          <w:color w:val="000000"/>
          <w:lang w:val="en-US" w:eastAsia="zh-CN"/>
        </w:rPr>
        <w:t>419.22</w:t>
      </w:r>
      <w:r>
        <w:rPr>
          <w:rFonts w:hint="default" w:ascii="Times New Roman" w:hAnsi="Times New Roman" w:cs="Times New Roman"/>
          <w:color w:val="000000"/>
        </w:rPr>
        <w:t>万元，占1</w:t>
      </w:r>
      <w:r>
        <w:rPr>
          <w:rFonts w:hint="default" w:ascii="Times New Roman" w:hAnsi="Times New Roman" w:cs="Times New Roman"/>
          <w:color w:val="000000"/>
          <w:lang w:val="en-US" w:eastAsia="zh-CN"/>
        </w:rPr>
        <w:t>6.92</w:t>
      </w:r>
      <w:r>
        <w:rPr>
          <w:rFonts w:hint="default" w:ascii="Times New Roman" w:hAnsi="Times New Roman" w:cs="Times New Roman"/>
          <w:color w:val="000000"/>
        </w:rPr>
        <w:t>%；</w:t>
      </w:r>
      <w:r>
        <w:rPr>
          <w:rFonts w:hint="default" w:ascii="Times New Roman" w:hAnsi="Times New Roman" w:cs="Times New Roman"/>
          <w:b/>
          <w:bCs/>
          <w:color w:val="000000"/>
        </w:rPr>
        <w:t>卫生健康支出</w:t>
      </w:r>
      <w:r>
        <w:rPr>
          <w:rFonts w:hint="default" w:ascii="Times New Roman" w:hAnsi="Times New Roman" w:cs="Times New Roman"/>
          <w:color w:val="000000"/>
          <w:lang w:val="en-US" w:eastAsia="zh-CN"/>
        </w:rPr>
        <w:t>87.25</w:t>
      </w:r>
      <w:r>
        <w:rPr>
          <w:rFonts w:hint="default" w:ascii="Times New Roman" w:hAnsi="Times New Roman" w:cs="Times New Roman"/>
          <w:color w:val="000000"/>
        </w:rPr>
        <w:t>万元，占</w:t>
      </w:r>
      <w:r>
        <w:rPr>
          <w:rFonts w:hint="default" w:ascii="Times New Roman" w:hAnsi="Times New Roman" w:cs="Times New Roman"/>
          <w:color w:val="000000"/>
          <w:lang w:val="en-US" w:eastAsia="zh-CN"/>
        </w:rPr>
        <w:t>3.52</w:t>
      </w:r>
      <w:r>
        <w:rPr>
          <w:rFonts w:hint="default" w:ascii="Times New Roman" w:hAnsi="Times New Roman" w:cs="Times New Roman"/>
          <w:color w:val="000000"/>
        </w:rPr>
        <w:t>%；</w:t>
      </w:r>
      <w:r>
        <w:rPr>
          <w:rFonts w:hint="default" w:ascii="Times New Roman" w:hAnsi="Times New Roman" w:cs="Times New Roman"/>
          <w:b/>
          <w:bCs/>
          <w:color w:val="000000"/>
        </w:rPr>
        <w:t>住房保障支出</w:t>
      </w:r>
      <w:r>
        <w:rPr>
          <w:rFonts w:hint="default" w:ascii="Times New Roman" w:hAnsi="Times New Roman" w:cs="Times New Roman"/>
          <w:color w:val="000000"/>
          <w:lang w:val="en-US" w:eastAsia="zh-CN"/>
        </w:rPr>
        <w:t>114.49</w:t>
      </w:r>
      <w:r>
        <w:rPr>
          <w:rFonts w:hint="default" w:ascii="Times New Roman" w:hAnsi="Times New Roman" w:cs="Times New Roman"/>
          <w:color w:val="000000"/>
        </w:rPr>
        <w:t>万元，占</w:t>
      </w:r>
      <w:r>
        <w:rPr>
          <w:rFonts w:hint="default" w:ascii="Times New Roman" w:hAnsi="Times New Roman" w:cs="Times New Roman"/>
          <w:color w:val="000000"/>
          <w:lang w:val="en-US" w:eastAsia="zh-CN"/>
        </w:rPr>
        <w:t>4.62</w:t>
      </w:r>
      <w:r>
        <w:rPr>
          <w:rFonts w:hint="default" w:ascii="Times New Roman" w:hAnsi="Times New Roman" w:cs="Times New Roman"/>
          <w:color w:val="000000"/>
        </w:rPr>
        <w:t>%。</w:t>
      </w:r>
    </w:p>
    <w:p>
      <w:pPr>
        <w:spacing w:line="580" w:lineRule="exact"/>
        <w:ind w:firstLine="640" w:firstLineChars="200"/>
        <w:rPr>
          <w:rFonts w:hint="default" w:ascii="Times New Roman" w:hAnsi="Times New Roman" w:eastAsia="仿宋" w:cs="Times New Roman"/>
          <w:color w:val="000000"/>
        </w:rPr>
      </w:pPr>
      <w:r>
        <w:rPr>
          <w:rFonts w:hint="default" w:ascii="Times New Roman" w:hAnsi="Times New Roman" w:cs="Times New Roman"/>
        </w:rPr>
        <w:pict>
          <v:shape id="_x0000_s1031" o:spid="_x0000_s1031" o:spt="202" type="#_x0000_t202" style="position:absolute;left:0pt;margin-left:27pt;margin-top:0pt;height:179.55pt;width:379.6pt;mso-wrap-style:none;z-index:251664384;mso-width-relative:page;mso-height-relative:page;" filled="f" stroked="f" coordsize="21600,21600">
            <v:path/>
            <v:fill on="f" focussize="0,0"/>
            <v:stroke on="f" joinstyle="miter"/>
            <v:imagedata o:title=""/>
            <o:lock v:ext="edit"/>
            <v:textbox style="mso-fit-shape-to-text:t;">
              <w:txbxContent>
                <w:p>
                  <w:r>
                    <w:object>
                      <v:shape id="_x0000_i1027" o:spt="75" type="#_x0000_t75" style="height:160.5pt;width:351pt;" o:ole="t" filled="f" o:preferrelative="t" stroked="f" coordsize="21600,21600">
                        <v:path/>
                        <v:fill on="f" focussize="0,0"/>
                        <v:stroke on="f"/>
                        <v:imagedata r:id="rId16" o:title=""/>
                        <o:lock v:ext="edit" aspectratio="t"/>
                        <w10:wrap type="none"/>
                        <w10:anchorlock/>
                      </v:shape>
                      <o:OLEObject Type="Embed" ProgID="MSGraph.Chart.8" ShapeID="_x0000_i1027" DrawAspect="Content" ObjectID="_1468075730" r:id="rId15">
                        <o:LockedField>false</o:LockedField>
                      </o:OLEObject>
                    </w:object>
                  </w:r>
                </w:p>
              </w:txbxContent>
            </v:textbox>
          </v:shape>
        </w:pict>
      </w:r>
    </w:p>
    <w:p>
      <w:pPr>
        <w:spacing w:line="580" w:lineRule="exact"/>
        <w:ind w:firstLine="640" w:firstLineChars="200"/>
        <w:rPr>
          <w:rFonts w:hint="default" w:ascii="Times New Roman" w:hAnsi="Times New Roman" w:eastAsia="仿宋" w:cs="Times New Roman"/>
          <w:color w:val="000000"/>
        </w:rPr>
      </w:pPr>
    </w:p>
    <w:p>
      <w:pPr>
        <w:spacing w:line="580" w:lineRule="exact"/>
        <w:ind w:firstLine="640" w:firstLineChars="200"/>
        <w:rPr>
          <w:rFonts w:hint="default" w:ascii="Times New Roman" w:hAnsi="Times New Roman" w:eastAsia="仿宋" w:cs="Times New Roman"/>
          <w:color w:val="000000"/>
        </w:rPr>
      </w:pPr>
    </w:p>
    <w:p>
      <w:pPr>
        <w:spacing w:line="580" w:lineRule="exact"/>
        <w:ind w:firstLine="640" w:firstLineChars="200"/>
        <w:rPr>
          <w:rFonts w:hint="default" w:ascii="Times New Roman" w:hAnsi="Times New Roman" w:eastAsia="仿宋" w:cs="Times New Roman"/>
          <w:color w:val="000000"/>
        </w:rPr>
      </w:pPr>
    </w:p>
    <w:p>
      <w:pPr>
        <w:spacing w:line="580" w:lineRule="exact"/>
        <w:rPr>
          <w:rFonts w:hint="default" w:ascii="Times New Roman" w:hAnsi="Times New Roman" w:eastAsia="仿宋" w:cs="Times New Roman"/>
          <w:color w:val="000000"/>
        </w:rPr>
      </w:pPr>
    </w:p>
    <w:p>
      <w:pPr>
        <w:spacing w:line="580" w:lineRule="exact"/>
        <w:ind w:firstLine="64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（图6：一般公共预算财政拨款支出决算结构）</w:t>
      </w:r>
    </w:p>
    <w:p>
      <w:pPr>
        <w:spacing w:line="580" w:lineRule="exact"/>
        <w:ind w:firstLine="643" w:firstLineChars="200"/>
        <w:outlineLvl w:val="2"/>
        <w:rPr>
          <w:rFonts w:hint="default" w:ascii="Times New Roman" w:hAnsi="Times New Roman" w:eastAsia="楷体" w:cs="Times New Roman"/>
          <w:b/>
          <w:bCs/>
          <w:color w:val="000000"/>
        </w:rPr>
      </w:pPr>
      <w:bookmarkStart w:id="58" w:name="_Toc15377212"/>
      <w:r>
        <w:rPr>
          <w:rFonts w:hint="default" w:ascii="Times New Roman" w:hAnsi="Times New Roman" w:eastAsia="楷体" w:cs="Times New Roman"/>
          <w:b/>
          <w:bCs/>
          <w:color w:val="000000"/>
        </w:rPr>
        <w:t>（三）一般公共预算财政拨款支出决算具体情况</w:t>
      </w:r>
      <w:bookmarkEnd w:id="58"/>
    </w:p>
    <w:p>
      <w:pPr>
        <w:spacing w:line="580" w:lineRule="exact"/>
        <w:ind w:firstLine="640" w:firstLineChars="200"/>
        <w:rPr>
          <w:rFonts w:hint="default" w:ascii="Times New Roman" w:hAnsi="Times New Roman" w:cs="Times New Roman"/>
          <w:color w:val="FF0000"/>
        </w:rPr>
      </w:pPr>
      <w:bookmarkStart w:id="59" w:name="_Toc15377213"/>
      <w:bookmarkStart w:id="60" w:name="_Toc15377444"/>
      <w:bookmarkStart w:id="61" w:name="_Toc15378460"/>
      <w:r>
        <w:rPr>
          <w:rFonts w:hint="default" w:ascii="Times New Roman" w:hAnsi="Times New Roman" w:cs="Times New Roman"/>
          <w:color w:val="000000"/>
        </w:rPr>
        <w:t>202</w:t>
      </w:r>
      <w:r>
        <w:rPr>
          <w:rFonts w:hint="default" w:ascii="Times New Roman" w:hAnsi="Times New Roman" w:cs="Times New Roman"/>
          <w:color w:val="000000"/>
          <w:lang w:val="en-US" w:eastAsia="zh-CN"/>
        </w:rPr>
        <w:t>1</w:t>
      </w:r>
      <w:r>
        <w:rPr>
          <w:rFonts w:hint="default" w:ascii="Times New Roman" w:hAnsi="Times New Roman" w:cs="Times New Roman"/>
          <w:color w:val="000000"/>
          <w:highlight w:val="none"/>
        </w:rPr>
        <w:t>年一般公共预算支出决算数为</w:t>
      </w:r>
      <w:r>
        <w:rPr>
          <w:rFonts w:hint="default" w:ascii="Times New Roman" w:hAnsi="Times New Roman" w:cs="Times New Roman"/>
          <w:color w:val="000000"/>
          <w:highlight w:val="none"/>
          <w:lang w:val="en-US" w:eastAsia="zh-CN"/>
        </w:rPr>
        <w:t>2478.16</w:t>
      </w:r>
      <w:r>
        <w:rPr>
          <w:rFonts w:hint="default" w:ascii="Times New Roman" w:hAnsi="Times New Roman" w:cs="Times New Roman"/>
          <w:color w:val="000000"/>
          <w:highlight w:val="none"/>
        </w:rPr>
        <w:t>万元，</w:t>
      </w:r>
      <w:r>
        <w:rPr>
          <w:rStyle w:val="15"/>
          <w:rFonts w:hint="default" w:ascii="Times New Roman" w:hAnsi="Times New Roman" w:cs="Times New Roman"/>
          <w:b w:val="0"/>
          <w:bCs w:val="0"/>
          <w:color w:val="000000"/>
          <w:highlight w:val="none"/>
        </w:rPr>
        <w:t>完成预算100%。</w:t>
      </w:r>
      <w:r>
        <w:rPr>
          <w:rStyle w:val="15"/>
          <w:rFonts w:hint="default" w:ascii="Times New Roman" w:hAnsi="Times New Roman" w:cs="Times New Roman"/>
          <w:b w:val="0"/>
          <w:bCs w:val="0"/>
          <w:color w:val="000000"/>
        </w:rPr>
        <w:t>其中：</w:t>
      </w:r>
      <w:bookmarkEnd w:id="59"/>
      <w:bookmarkEnd w:id="60"/>
      <w:bookmarkEnd w:id="61"/>
    </w:p>
    <w:p>
      <w:pPr>
        <w:spacing w:line="580" w:lineRule="exact"/>
        <w:ind w:firstLine="643" w:firstLineChars="200"/>
        <w:rPr>
          <w:rFonts w:hint="default" w:ascii="Times New Roman" w:hAnsi="Times New Roman" w:cs="Times New Roman"/>
          <w:color w:val="000000"/>
        </w:rPr>
      </w:pPr>
      <w:r>
        <w:rPr>
          <w:rStyle w:val="15"/>
          <w:rFonts w:hint="default" w:ascii="Times New Roman" w:hAnsi="Times New Roman" w:cs="Times New Roman"/>
          <w:b/>
          <w:bCs/>
          <w:color w:val="000000"/>
        </w:rPr>
        <w:t>1、一般公共服务（类）政协事务（款）</w:t>
      </w:r>
      <w:r>
        <w:rPr>
          <w:rFonts w:hint="default" w:ascii="Times New Roman" w:hAnsi="Times New Roman" w:cs="Times New Roman"/>
          <w:b/>
          <w:bCs/>
          <w:color w:val="000000"/>
        </w:rPr>
        <w:t>行政运行（项）：</w:t>
      </w:r>
      <w:r>
        <w:rPr>
          <w:rFonts w:hint="default" w:ascii="Times New Roman" w:hAnsi="Times New Roman" w:cs="Times New Roman"/>
          <w:color w:val="000000"/>
        </w:rPr>
        <w:t>支出决算为</w:t>
      </w:r>
      <w:r>
        <w:rPr>
          <w:rFonts w:hint="default" w:ascii="Times New Roman" w:hAnsi="Times New Roman" w:cs="Times New Roman"/>
          <w:color w:val="000000"/>
          <w:lang w:val="en-US" w:eastAsia="zh-CN"/>
        </w:rPr>
        <w:t>1434.5</w:t>
      </w:r>
      <w:r>
        <w:rPr>
          <w:rFonts w:hint="eastAsia" w:cs="Times New Roman"/>
          <w:color w:val="000000"/>
          <w:lang w:val="en-US" w:eastAsia="zh-CN"/>
        </w:rPr>
        <w:t>1</w:t>
      </w:r>
      <w:r>
        <w:rPr>
          <w:rFonts w:hint="default" w:ascii="Times New Roman" w:hAnsi="Times New Roman" w:cs="Times New Roman"/>
          <w:color w:val="000000"/>
        </w:rPr>
        <w:t>万元，完成预算100%，</w:t>
      </w:r>
      <w:r>
        <w:rPr>
          <w:rFonts w:hint="default" w:ascii="Times New Roman" w:hAnsi="Times New Roman" w:cs="Times New Roman"/>
          <w:color w:val="000000"/>
          <w:lang w:eastAsia="zh-CN"/>
        </w:rPr>
        <w:t>决算数等于预算数。</w:t>
      </w:r>
      <w:r>
        <w:rPr>
          <w:rFonts w:hint="default" w:ascii="Times New Roman" w:hAnsi="Times New Roman" w:cs="Times New Roman"/>
          <w:color w:val="000000"/>
        </w:rPr>
        <w:t>主要用于保障自贡市政协办公室人员经费、日常运转等基本支出。</w:t>
      </w:r>
    </w:p>
    <w:p>
      <w:pPr>
        <w:spacing w:line="580" w:lineRule="exact"/>
        <w:ind w:firstLine="643" w:firstLineChars="200"/>
        <w:rPr>
          <w:rFonts w:hint="default" w:ascii="Times New Roman" w:hAnsi="Times New Roman" w:cs="Times New Roman"/>
          <w:color w:val="000000"/>
        </w:rPr>
      </w:pPr>
      <w:r>
        <w:rPr>
          <w:rFonts w:hint="default" w:ascii="Times New Roman" w:hAnsi="Times New Roman" w:cs="Times New Roman"/>
          <w:b/>
          <w:bCs/>
          <w:color w:val="000000"/>
        </w:rPr>
        <w:t>2、</w:t>
      </w:r>
      <w:r>
        <w:rPr>
          <w:rStyle w:val="15"/>
          <w:rFonts w:hint="default" w:ascii="Times New Roman" w:hAnsi="Times New Roman" w:cs="Times New Roman"/>
          <w:b/>
          <w:bCs/>
          <w:color w:val="000000"/>
        </w:rPr>
        <w:t>一般公共服务（类）政协事务（款）</w:t>
      </w:r>
      <w:r>
        <w:rPr>
          <w:rFonts w:hint="default" w:ascii="Times New Roman" w:hAnsi="Times New Roman" w:cs="Times New Roman"/>
          <w:b/>
          <w:bCs/>
          <w:color w:val="000000"/>
        </w:rPr>
        <w:t>一般行政管理事务（项）：</w:t>
      </w:r>
      <w:r>
        <w:rPr>
          <w:rFonts w:hint="default" w:ascii="Times New Roman" w:hAnsi="Times New Roman" w:cs="Times New Roman"/>
          <w:color w:val="000000"/>
        </w:rPr>
        <w:t>支出决算为</w:t>
      </w:r>
      <w:r>
        <w:rPr>
          <w:rFonts w:hint="default" w:ascii="Times New Roman" w:hAnsi="Times New Roman" w:cs="Times New Roman"/>
          <w:color w:val="000000"/>
          <w:lang w:val="en-US" w:eastAsia="zh-CN"/>
        </w:rPr>
        <w:t>364.7</w:t>
      </w:r>
      <w:r>
        <w:rPr>
          <w:rFonts w:hint="eastAsia" w:cs="Times New Roman"/>
          <w:color w:val="000000"/>
          <w:lang w:val="en-US" w:eastAsia="zh-CN"/>
        </w:rPr>
        <w:t>3</w:t>
      </w:r>
      <w:r>
        <w:rPr>
          <w:rFonts w:hint="default" w:ascii="Times New Roman" w:hAnsi="Times New Roman" w:cs="Times New Roman"/>
          <w:color w:val="000000"/>
        </w:rPr>
        <w:t>万元，完成预算100%，</w:t>
      </w:r>
      <w:r>
        <w:rPr>
          <w:rFonts w:hint="default" w:ascii="Times New Roman" w:hAnsi="Times New Roman" w:cs="Times New Roman"/>
          <w:color w:val="000000"/>
          <w:lang w:eastAsia="zh-CN"/>
        </w:rPr>
        <w:t>决算数等于预算数。</w:t>
      </w:r>
      <w:r>
        <w:rPr>
          <w:rFonts w:hint="default" w:ascii="Times New Roman" w:hAnsi="Times New Roman" w:cs="Times New Roman"/>
          <w:color w:val="000000"/>
        </w:rPr>
        <w:t>主要用于完成政协特定行政工作任务和事业发展目标而安排的年度项目支出。</w:t>
      </w:r>
    </w:p>
    <w:p>
      <w:pPr>
        <w:spacing w:line="580" w:lineRule="exact"/>
        <w:ind w:firstLine="643" w:firstLineChars="200"/>
        <w:rPr>
          <w:rFonts w:hint="default" w:ascii="Times New Roman" w:hAnsi="Times New Roman" w:cs="Times New Roman"/>
          <w:color w:val="000000"/>
        </w:rPr>
      </w:pPr>
      <w:r>
        <w:rPr>
          <w:rFonts w:hint="default" w:ascii="Times New Roman" w:hAnsi="Times New Roman" w:cs="Times New Roman"/>
          <w:b/>
          <w:bCs/>
          <w:color w:val="000000"/>
        </w:rPr>
        <w:t>3、</w:t>
      </w:r>
      <w:r>
        <w:rPr>
          <w:rStyle w:val="15"/>
          <w:rFonts w:hint="default" w:ascii="Times New Roman" w:hAnsi="Times New Roman" w:cs="Times New Roman"/>
          <w:b/>
          <w:bCs/>
          <w:color w:val="000000"/>
        </w:rPr>
        <w:t>一般公共服务（类）政协事务（款）</w:t>
      </w:r>
      <w:r>
        <w:rPr>
          <w:rFonts w:hint="default" w:ascii="Times New Roman" w:hAnsi="Times New Roman" w:cs="Times New Roman"/>
          <w:b/>
          <w:bCs/>
          <w:color w:val="000000"/>
        </w:rPr>
        <w:t>政协会议（项）：</w:t>
      </w:r>
      <w:r>
        <w:rPr>
          <w:rFonts w:hint="default" w:ascii="Times New Roman" w:hAnsi="Times New Roman" w:cs="Times New Roman"/>
          <w:color w:val="000000"/>
        </w:rPr>
        <w:t>支出决算为54.00万元，完成预算 100%，</w:t>
      </w:r>
      <w:r>
        <w:rPr>
          <w:rFonts w:hint="default" w:ascii="Times New Roman" w:hAnsi="Times New Roman" w:cs="Times New Roman"/>
          <w:color w:val="000000"/>
          <w:lang w:eastAsia="zh-CN"/>
        </w:rPr>
        <w:t>决算数等于预算数。</w:t>
      </w:r>
      <w:r>
        <w:rPr>
          <w:rFonts w:hint="default" w:ascii="Times New Roman" w:hAnsi="Times New Roman" w:cs="Times New Roman"/>
          <w:color w:val="000000"/>
        </w:rPr>
        <w:t>主要用于召开政协全会的支出。</w:t>
      </w:r>
    </w:p>
    <w:p>
      <w:pPr>
        <w:spacing w:line="580" w:lineRule="exact"/>
        <w:ind w:firstLine="643" w:firstLineChars="200"/>
        <w:rPr>
          <w:rFonts w:hint="default" w:ascii="Times New Roman" w:hAnsi="Times New Roman" w:cs="Times New Roman"/>
          <w:color w:val="000000"/>
        </w:rPr>
      </w:pPr>
      <w:r>
        <w:rPr>
          <w:rStyle w:val="15"/>
          <w:rFonts w:hint="default" w:ascii="Times New Roman" w:hAnsi="Times New Roman" w:cs="Times New Roman"/>
          <w:b/>
          <w:bCs/>
          <w:color w:val="000000"/>
        </w:rPr>
        <w:t>4、一般公共服务（类）政协事务（款）</w:t>
      </w:r>
      <w:r>
        <w:rPr>
          <w:rStyle w:val="15"/>
          <w:rFonts w:hint="default" w:ascii="Times New Roman" w:hAnsi="Times New Roman" w:cs="Times New Roman"/>
          <w:b/>
          <w:bCs/>
          <w:color w:val="000000"/>
          <w:lang w:eastAsia="zh-CN"/>
        </w:rPr>
        <w:t>事业运行</w:t>
      </w:r>
      <w:r>
        <w:rPr>
          <w:rFonts w:hint="default" w:ascii="Times New Roman" w:hAnsi="Times New Roman" w:cs="Times New Roman"/>
          <w:b/>
          <w:bCs/>
          <w:color w:val="000000"/>
        </w:rPr>
        <w:t>（项）：</w:t>
      </w:r>
      <w:r>
        <w:rPr>
          <w:rFonts w:hint="default" w:ascii="Times New Roman" w:hAnsi="Times New Roman" w:cs="Times New Roman"/>
          <w:color w:val="000000"/>
        </w:rPr>
        <w:t xml:space="preserve">支出决算为 </w:t>
      </w:r>
      <w:r>
        <w:rPr>
          <w:rFonts w:hint="default" w:ascii="Times New Roman" w:hAnsi="Times New Roman" w:cs="Times New Roman"/>
          <w:color w:val="000000"/>
          <w:lang w:val="en-US" w:eastAsia="zh-CN"/>
        </w:rPr>
        <w:t>3.96</w:t>
      </w:r>
      <w:r>
        <w:rPr>
          <w:rFonts w:hint="default" w:ascii="Times New Roman" w:hAnsi="Times New Roman" w:cs="Times New Roman"/>
          <w:color w:val="000000"/>
        </w:rPr>
        <w:t xml:space="preserve"> 万元，完成预算 100%，</w:t>
      </w:r>
      <w:r>
        <w:rPr>
          <w:rFonts w:hint="default" w:ascii="Times New Roman" w:hAnsi="Times New Roman" w:cs="Times New Roman"/>
          <w:color w:val="000000"/>
          <w:lang w:eastAsia="zh-CN"/>
        </w:rPr>
        <w:t>决算数等于预算数。</w:t>
      </w:r>
      <w:r>
        <w:rPr>
          <w:rFonts w:hint="default" w:ascii="Times New Roman" w:hAnsi="Times New Roman" w:cs="Times New Roman"/>
          <w:color w:val="000000"/>
        </w:rPr>
        <w:t>主要用于保障自贡市政协办公室</w:t>
      </w:r>
      <w:r>
        <w:rPr>
          <w:rFonts w:hint="default" w:ascii="Times New Roman" w:hAnsi="Times New Roman" w:cs="Times New Roman"/>
          <w:color w:val="000000"/>
          <w:lang w:eastAsia="zh-CN"/>
        </w:rPr>
        <w:t>委员服务中心</w:t>
      </w:r>
      <w:r>
        <w:rPr>
          <w:rFonts w:hint="default" w:ascii="Times New Roman" w:hAnsi="Times New Roman" w:cs="Times New Roman"/>
          <w:color w:val="000000"/>
        </w:rPr>
        <w:t>人员经费、日常运转等基本支出。</w:t>
      </w:r>
    </w:p>
    <w:p>
      <w:pPr>
        <w:spacing w:line="580" w:lineRule="exact"/>
        <w:ind w:firstLine="643" w:firstLineChars="200"/>
        <w:rPr>
          <w:rStyle w:val="15"/>
          <w:rFonts w:hint="default" w:ascii="Times New Roman" w:hAnsi="Times New Roman" w:cs="Times New Roman"/>
          <w:b w:val="0"/>
          <w:bCs w:val="0"/>
          <w:color w:val="000000"/>
        </w:rPr>
      </w:pPr>
      <w:r>
        <w:rPr>
          <w:rStyle w:val="15"/>
          <w:rFonts w:hint="default" w:ascii="Times New Roman" w:hAnsi="Times New Roman" w:cs="Times New Roman"/>
          <w:b/>
          <w:bCs/>
          <w:color w:val="000000"/>
        </w:rPr>
        <w:t>5、社会保障和就业（类）行政事业单位养老（款）行政单位离退休（项）：</w:t>
      </w:r>
      <w:r>
        <w:rPr>
          <w:rStyle w:val="15"/>
          <w:rFonts w:hint="default" w:ascii="Times New Roman" w:hAnsi="Times New Roman" w:cs="Times New Roman"/>
          <w:b w:val="0"/>
          <w:bCs w:val="0"/>
          <w:color w:val="000000"/>
        </w:rPr>
        <w:t xml:space="preserve">支出决算为 </w:t>
      </w:r>
      <w:r>
        <w:rPr>
          <w:rStyle w:val="15"/>
          <w:rFonts w:hint="default" w:ascii="Times New Roman" w:hAnsi="Times New Roman" w:cs="Times New Roman"/>
          <w:b w:val="0"/>
          <w:bCs w:val="0"/>
          <w:color w:val="000000"/>
          <w:lang w:val="en-US" w:eastAsia="zh-CN"/>
        </w:rPr>
        <w:t>213.75</w:t>
      </w:r>
      <w:r>
        <w:rPr>
          <w:rStyle w:val="15"/>
          <w:rFonts w:hint="default" w:ascii="Times New Roman" w:hAnsi="Times New Roman" w:cs="Times New Roman"/>
          <w:b w:val="0"/>
          <w:bCs w:val="0"/>
          <w:color w:val="000000"/>
        </w:rPr>
        <w:t>万元，完成预算100%，</w:t>
      </w:r>
      <w:r>
        <w:rPr>
          <w:rFonts w:hint="default" w:ascii="Times New Roman" w:hAnsi="Times New Roman" w:cs="Times New Roman"/>
          <w:color w:val="000000"/>
          <w:lang w:eastAsia="zh-CN"/>
        </w:rPr>
        <w:t>决算数等于预算数。</w:t>
      </w:r>
      <w:r>
        <w:rPr>
          <w:rStyle w:val="15"/>
          <w:rFonts w:hint="default" w:ascii="Times New Roman" w:hAnsi="Times New Roman" w:cs="Times New Roman"/>
          <w:b w:val="0"/>
          <w:bCs w:val="0"/>
          <w:color w:val="000000"/>
        </w:rPr>
        <w:t>主要用于自贡市政协办公室离退休人员经费及活动费支出。</w:t>
      </w:r>
    </w:p>
    <w:p>
      <w:pPr>
        <w:spacing w:line="580" w:lineRule="exact"/>
        <w:ind w:firstLine="643" w:firstLineChars="200"/>
        <w:rPr>
          <w:rStyle w:val="15"/>
          <w:rFonts w:hint="default" w:ascii="Times New Roman" w:hAnsi="Times New Roman" w:cs="Times New Roman"/>
          <w:b w:val="0"/>
          <w:bCs w:val="0"/>
          <w:color w:val="000000"/>
        </w:rPr>
      </w:pPr>
      <w:r>
        <w:rPr>
          <w:rStyle w:val="15"/>
          <w:rFonts w:hint="default" w:ascii="Times New Roman" w:hAnsi="Times New Roman" w:cs="Times New Roman"/>
          <w:b/>
          <w:bCs/>
          <w:color w:val="000000"/>
        </w:rPr>
        <w:t>6、社会保障和就业（类）行政事业单位养老（款）机关事业单位基本养老保险缴费支出（项）：</w:t>
      </w:r>
      <w:r>
        <w:rPr>
          <w:rStyle w:val="15"/>
          <w:rFonts w:hint="default" w:ascii="Times New Roman" w:hAnsi="Times New Roman" w:cs="Times New Roman"/>
          <w:b w:val="0"/>
          <w:bCs w:val="0"/>
          <w:color w:val="000000"/>
        </w:rPr>
        <w:t>支出决算为</w:t>
      </w:r>
      <w:r>
        <w:rPr>
          <w:rStyle w:val="15"/>
          <w:rFonts w:hint="default" w:ascii="Times New Roman" w:hAnsi="Times New Roman" w:cs="Times New Roman"/>
          <w:b w:val="0"/>
          <w:bCs w:val="0"/>
          <w:color w:val="000000"/>
          <w:lang w:val="en-US" w:eastAsia="zh-CN"/>
        </w:rPr>
        <w:t>90.89</w:t>
      </w:r>
      <w:r>
        <w:rPr>
          <w:rStyle w:val="15"/>
          <w:rFonts w:hint="default" w:ascii="Times New Roman" w:hAnsi="Times New Roman" w:cs="Times New Roman"/>
          <w:b w:val="0"/>
          <w:bCs w:val="0"/>
          <w:color w:val="000000"/>
        </w:rPr>
        <w:t>万元，完成预算 100%，</w:t>
      </w:r>
      <w:r>
        <w:rPr>
          <w:rFonts w:hint="default" w:ascii="Times New Roman" w:hAnsi="Times New Roman" w:cs="Times New Roman"/>
          <w:color w:val="000000"/>
          <w:lang w:eastAsia="zh-CN"/>
        </w:rPr>
        <w:t>决算数等于预算数。</w:t>
      </w:r>
      <w:r>
        <w:rPr>
          <w:rStyle w:val="15"/>
          <w:rFonts w:hint="default" w:ascii="Times New Roman" w:hAnsi="Times New Roman" w:cs="Times New Roman"/>
          <w:b w:val="0"/>
          <w:bCs w:val="0"/>
          <w:color w:val="000000"/>
        </w:rPr>
        <w:t>主要用于保障自贡市政协办公室按照规定标准为职工缴纳的基本养老保险支出。</w:t>
      </w:r>
    </w:p>
    <w:p>
      <w:pPr>
        <w:spacing w:line="580" w:lineRule="exact"/>
        <w:ind w:firstLine="643" w:firstLineChars="200"/>
        <w:rPr>
          <w:rStyle w:val="15"/>
          <w:rFonts w:hint="default" w:ascii="Times New Roman" w:hAnsi="Times New Roman" w:cs="Times New Roman"/>
          <w:b w:val="0"/>
          <w:bCs w:val="0"/>
          <w:color w:val="000000"/>
        </w:rPr>
      </w:pPr>
      <w:r>
        <w:rPr>
          <w:rStyle w:val="15"/>
          <w:rFonts w:hint="default" w:ascii="Times New Roman" w:hAnsi="Times New Roman" w:cs="Times New Roman"/>
          <w:b/>
          <w:bCs/>
          <w:color w:val="000000"/>
        </w:rPr>
        <w:t>7、社会保障和就业（类）行政事业单位养老（款）机关事业单位职业年金缴费支出（项）：</w:t>
      </w:r>
      <w:r>
        <w:rPr>
          <w:rStyle w:val="15"/>
          <w:rFonts w:hint="default" w:ascii="Times New Roman" w:hAnsi="Times New Roman" w:cs="Times New Roman"/>
          <w:b w:val="0"/>
          <w:bCs w:val="0"/>
          <w:color w:val="000000"/>
        </w:rPr>
        <w:t xml:space="preserve">支出决算为 </w:t>
      </w:r>
      <w:r>
        <w:rPr>
          <w:rStyle w:val="15"/>
          <w:rFonts w:hint="default" w:ascii="Times New Roman" w:hAnsi="Times New Roman" w:cs="Times New Roman"/>
          <w:b w:val="0"/>
          <w:bCs w:val="0"/>
          <w:color w:val="000000"/>
          <w:lang w:val="en-US" w:eastAsia="zh-CN"/>
        </w:rPr>
        <w:t>7.98</w:t>
      </w:r>
      <w:r>
        <w:rPr>
          <w:rStyle w:val="15"/>
          <w:rFonts w:hint="default" w:ascii="Times New Roman" w:hAnsi="Times New Roman" w:cs="Times New Roman"/>
          <w:b w:val="0"/>
          <w:bCs w:val="0"/>
          <w:color w:val="000000"/>
        </w:rPr>
        <w:t>万元，完成预算 100%，</w:t>
      </w:r>
      <w:r>
        <w:rPr>
          <w:rFonts w:hint="default" w:ascii="Times New Roman" w:hAnsi="Times New Roman" w:cs="Times New Roman"/>
          <w:color w:val="000000"/>
          <w:lang w:eastAsia="zh-CN"/>
        </w:rPr>
        <w:t>决算数等于预算数。</w:t>
      </w:r>
      <w:r>
        <w:rPr>
          <w:rStyle w:val="15"/>
          <w:rFonts w:hint="default" w:ascii="Times New Roman" w:hAnsi="Times New Roman" w:cs="Times New Roman"/>
          <w:b w:val="0"/>
          <w:bCs w:val="0"/>
          <w:color w:val="000000"/>
        </w:rPr>
        <w:t>主要用于自贡市政协办公室退休人员职业年金纪实</w:t>
      </w:r>
      <w:r>
        <w:rPr>
          <w:rStyle w:val="15"/>
          <w:rFonts w:hint="default" w:ascii="Times New Roman" w:hAnsi="Times New Roman" w:cs="Times New Roman"/>
          <w:b w:val="0"/>
          <w:bCs w:val="0"/>
          <w:color w:val="000000"/>
          <w:lang w:eastAsia="zh-CN"/>
        </w:rPr>
        <w:t>和</w:t>
      </w:r>
      <w:r>
        <w:rPr>
          <w:rFonts w:hint="default" w:ascii="Times New Roman" w:hAnsi="Times New Roman" w:cs="Times New Roman"/>
          <w:color w:val="000000"/>
        </w:rPr>
        <w:t>自贡市政协办公室</w:t>
      </w:r>
      <w:r>
        <w:rPr>
          <w:rFonts w:hint="default" w:ascii="Times New Roman" w:hAnsi="Times New Roman" w:cs="Times New Roman"/>
          <w:color w:val="000000"/>
          <w:lang w:eastAsia="zh-CN"/>
        </w:rPr>
        <w:t>委员服务中心按照规定标准为职工缴纳的年金支出</w:t>
      </w:r>
      <w:r>
        <w:rPr>
          <w:rStyle w:val="15"/>
          <w:rFonts w:hint="default" w:ascii="Times New Roman" w:hAnsi="Times New Roman" w:cs="Times New Roman"/>
          <w:b w:val="0"/>
          <w:bCs w:val="0"/>
          <w:color w:val="000000"/>
        </w:rPr>
        <w:t>。</w:t>
      </w:r>
    </w:p>
    <w:p>
      <w:pPr>
        <w:spacing w:line="580" w:lineRule="exact"/>
        <w:ind w:firstLine="643" w:firstLineChars="200"/>
        <w:rPr>
          <w:rStyle w:val="15"/>
          <w:rFonts w:hint="default" w:ascii="Times New Roman" w:hAnsi="Times New Roman" w:cs="Times New Roman"/>
          <w:b w:val="0"/>
          <w:bCs w:val="0"/>
          <w:color w:val="000000"/>
        </w:rPr>
      </w:pPr>
      <w:r>
        <w:rPr>
          <w:rStyle w:val="15"/>
          <w:rFonts w:hint="default" w:ascii="Times New Roman" w:hAnsi="Times New Roman" w:cs="Times New Roman"/>
          <w:b/>
          <w:bCs/>
          <w:color w:val="000000"/>
        </w:rPr>
        <w:t>8、社会保障和就业（类）抚恤（款）死亡抚恤（项）：</w:t>
      </w:r>
      <w:r>
        <w:rPr>
          <w:rStyle w:val="15"/>
          <w:rFonts w:hint="default" w:ascii="Times New Roman" w:hAnsi="Times New Roman" w:cs="Times New Roman"/>
          <w:b w:val="0"/>
          <w:bCs w:val="0"/>
          <w:color w:val="000000"/>
        </w:rPr>
        <w:t>支出决算为</w:t>
      </w:r>
      <w:r>
        <w:rPr>
          <w:rStyle w:val="15"/>
          <w:rFonts w:hint="default" w:ascii="Times New Roman" w:hAnsi="Times New Roman" w:cs="Times New Roman"/>
          <w:b w:val="0"/>
          <w:bCs w:val="0"/>
          <w:color w:val="000000"/>
          <w:lang w:val="en-US" w:eastAsia="zh-CN"/>
        </w:rPr>
        <w:t>106.6</w:t>
      </w:r>
      <w:r>
        <w:rPr>
          <w:rStyle w:val="15"/>
          <w:rFonts w:hint="default" w:ascii="Times New Roman" w:hAnsi="Times New Roman" w:cs="Times New Roman"/>
          <w:b w:val="0"/>
          <w:bCs w:val="0"/>
          <w:color w:val="000000"/>
        </w:rPr>
        <w:t xml:space="preserve"> 万元，完成预算 100%，</w:t>
      </w:r>
      <w:r>
        <w:rPr>
          <w:rFonts w:hint="default" w:ascii="Times New Roman" w:hAnsi="Times New Roman" w:cs="Times New Roman"/>
          <w:color w:val="000000"/>
          <w:lang w:eastAsia="zh-CN"/>
        </w:rPr>
        <w:t>决算数等于预算数。</w:t>
      </w:r>
      <w:r>
        <w:rPr>
          <w:rStyle w:val="15"/>
          <w:rFonts w:hint="default" w:ascii="Times New Roman" w:hAnsi="Times New Roman" w:cs="Times New Roman"/>
          <w:b w:val="0"/>
          <w:bCs w:val="0"/>
          <w:color w:val="000000"/>
        </w:rPr>
        <w:t>主要用于自贡市政协办公室</w:t>
      </w:r>
      <w:r>
        <w:rPr>
          <w:rStyle w:val="15"/>
          <w:rFonts w:hint="default" w:ascii="Times New Roman" w:hAnsi="Times New Roman" w:cs="Times New Roman"/>
          <w:b w:val="0"/>
          <w:bCs w:val="0"/>
          <w:color w:val="000000"/>
          <w:lang w:val="en-US" w:eastAsia="zh-CN"/>
        </w:rPr>
        <w:t>2</w:t>
      </w:r>
      <w:r>
        <w:rPr>
          <w:rStyle w:val="15"/>
          <w:rFonts w:hint="default" w:ascii="Times New Roman" w:hAnsi="Times New Roman" w:cs="Times New Roman"/>
          <w:b w:val="0"/>
          <w:bCs w:val="0"/>
          <w:color w:val="000000"/>
        </w:rPr>
        <w:t>名</w:t>
      </w:r>
      <w:r>
        <w:rPr>
          <w:rStyle w:val="15"/>
          <w:rFonts w:hint="eastAsia" w:cs="Times New Roman"/>
          <w:b w:val="0"/>
          <w:bCs w:val="0"/>
          <w:color w:val="000000"/>
          <w:lang w:eastAsia="zh-CN"/>
        </w:rPr>
        <w:t>离</w:t>
      </w:r>
      <w:r>
        <w:rPr>
          <w:rStyle w:val="15"/>
          <w:rFonts w:hint="default" w:ascii="Times New Roman" w:hAnsi="Times New Roman" w:cs="Times New Roman"/>
          <w:b w:val="0"/>
          <w:bCs w:val="0"/>
          <w:color w:val="000000"/>
        </w:rPr>
        <w:t>休干部丧葬抚恤支出。</w:t>
      </w:r>
    </w:p>
    <w:p>
      <w:pPr>
        <w:spacing w:line="580" w:lineRule="exact"/>
        <w:ind w:firstLine="643" w:firstLineChars="200"/>
        <w:rPr>
          <w:rStyle w:val="15"/>
          <w:rFonts w:hint="default" w:ascii="Times New Roman" w:hAnsi="Times New Roman" w:cs="Times New Roman"/>
          <w:b w:val="0"/>
          <w:bCs w:val="0"/>
        </w:rPr>
      </w:pPr>
      <w:r>
        <w:rPr>
          <w:rStyle w:val="15"/>
          <w:rFonts w:hint="default" w:ascii="Times New Roman" w:hAnsi="Times New Roman" w:cs="Times New Roman"/>
          <w:b/>
          <w:bCs/>
          <w:color w:val="000000"/>
        </w:rPr>
        <w:t>9、卫生健康支出（类）行政事业单位医疗（款）行政单位医疗（项）：</w:t>
      </w:r>
      <w:r>
        <w:rPr>
          <w:rStyle w:val="15"/>
          <w:rFonts w:hint="default" w:ascii="Times New Roman" w:hAnsi="Times New Roman" w:cs="Times New Roman"/>
          <w:b w:val="0"/>
          <w:bCs w:val="0"/>
          <w:color w:val="000000"/>
        </w:rPr>
        <w:t xml:space="preserve">支出决算为 </w:t>
      </w:r>
      <w:r>
        <w:rPr>
          <w:rStyle w:val="15"/>
          <w:rFonts w:hint="default" w:ascii="Times New Roman" w:hAnsi="Times New Roman" w:cs="Times New Roman"/>
          <w:b w:val="0"/>
          <w:bCs w:val="0"/>
          <w:color w:val="000000"/>
          <w:lang w:val="en-US" w:eastAsia="zh-CN"/>
        </w:rPr>
        <w:t>86.98</w:t>
      </w:r>
      <w:r>
        <w:rPr>
          <w:rStyle w:val="15"/>
          <w:rFonts w:hint="default" w:ascii="Times New Roman" w:hAnsi="Times New Roman" w:cs="Times New Roman"/>
          <w:b w:val="0"/>
          <w:bCs w:val="0"/>
          <w:color w:val="000000"/>
        </w:rPr>
        <w:t>万元，完成预算 100%</w:t>
      </w:r>
      <w:r>
        <w:rPr>
          <w:rStyle w:val="15"/>
          <w:rFonts w:hint="default" w:ascii="Times New Roman" w:hAnsi="Times New Roman" w:cs="Times New Roman"/>
          <w:b w:val="0"/>
          <w:bCs w:val="0"/>
          <w:color w:val="000000"/>
          <w:lang w:eastAsia="zh-CN"/>
        </w:rPr>
        <w:t>，</w:t>
      </w:r>
      <w:r>
        <w:rPr>
          <w:rFonts w:hint="default" w:ascii="Times New Roman" w:hAnsi="Times New Roman" w:cs="Times New Roman"/>
          <w:color w:val="000000"/>
          <w:lang w:eastAsia="zh-CN"/>
        </w:rPr>
        <w:t>决算数等于预算数。</w:t>
      </w:r>
      <w:r>
        <w:rPr>
          <w:rStyle w:val="15"/>
          <w:rFonts w:hint="default" w:ascii="Times New Roman" w:hAnsi="Times New Roman" w:cs="Times New Roman"/>
          <w:b w:val="0"/>
          <w:bCs w:val="0"/>
          <w:color w:val="000000"/>
        </w:rPr>
        <w:t>主要用于保障自贡市政协办公室按照规定标准为职工缴纳的</w:t>
      </w:r>
      <w:r>
        <w:rPr>
          <w:rStyle w:val="15"/>
          <w:rFonts w:hint="default" w:ascii="Times New Roman" w:hAnsi="Times New Roman" w:cs="Times New Roman"/>
          <w:b w:val="0"/>
          <w:bCs w:val="0"/>
          <w:color w:val="000000"/>
          <w:lang w:eastAsia="zh-CN"/>
        </w:rPr>
        <w:t>医疗保险</w:t>
      </w:r>
      <w:r>
        <w:rPr>
          <w:rStyle w:val="15"/>
          <w:rFonts w:hint="default" w:ascii="Times New Roman" w:hAnsi="Times New Roman" w:cs="Times New Roman"/>
          <w:b w:val="0"/>
          <w:bCs w:val="0"/>
          <w:color w:val="000000"/>
        </w:rPr>
        <w:t>支出。</w:t>
      </w:r>
    </w:p>
    <w:p>
      <w:pPr>
        <w:spacing w:line="580" w:lineRule="exact"/>
        <w:ind w:firstLine="643" w:firstLineChars="200"/>
        <w:rPr>
          <w:rStyle w:val="15"/>
          <w:rFonts w:hint="default" w:ascii="Times New Roman" w:hAnsi="Times New Roman" w:cs="Times New Roman"/>
          <w:b w:val="0"/>
          <w:bCs w:val="0"/>
        </w:rPr>
      </w:pPr>
      <w:r>
        <w:rPr>
          <w:rStyle w:val="15"/>
          <w:rFonts w:hint="default" w:ascii="Times New Roman" w:hAnsi="Times New Roman" w:cs="Times New Roman"/>
          <w:b/>
          <w:bCs/>
          <w:color w:val="000000"/>
          <w:lang w:val="en-US" w:eastAsia="zh-CN"/>
        </w:rPr>
        <w:t>10</w:t>
      </w:r>
      <w:r>
        <w:rPr>
          <w:rStyle w:val="15"/>
          <w:rFonts w:hint="default" w:ascii="Times New Roman" w:hAnsi="Times New Roman" w:cs="Times New Roman"/>
          <w:b/>
          <w:bCs/>
          <w:color w:val="000000"/>
        </w:rPr>
        <w:t>、卫生健康支出（类）行政事业单位医疗（款）</w:t>
      </w:r>
      <w:r>
        <w:rPr>
          <w:rStyle w:val="15"/>
          <w:rFonts w:hint="default" w:ascii="Times New Roman" w:hAnsi="Times New Roman" w:cs="Times New Roman"/>
          <w:b/>
          <w:bCs/>
          <w:color w:val="000000"/>
          <w:lang w:eastAsia="zh-CN"/>
        </w:rPr>
        <w:t>事业</w:t>
      </w:r>
      <w:r>
        <w:rPr>
          <w:rStyle w:val="15"/>
          <w:rFonts w:hint="default" w:ascii="Times New Roman" w:hAnsi="Times New Roman" w:cs="Times New Roman"/>
          <w:b/>
          <w:bCs/>
          <w:color w:val="000000"/>
        </w:rPr>
        <w:t>单位医疗（项）：</w:t>
      </w:r>
      <w:r>
        <w:rPr>
          <w:rStyle w:val="15"/>
          <w:rFonts w:hint="default" w:ascii="Times New Roman" w:hAnsi="Times New Roman" w:cs="Times New Roman"/>
          <w:b w:val="0"/>
          <w:bCs w:val="0"/>
          <w:color w:val="000000"/>
        </w:rPr>
        <w:t xml:space="preserve">支出决算为 </w:t>
      </w:r>
      <w:r>
        <w:rPr>
          <w:rStyle w:val="15"/>
          <w:rFonts w:hint="default" w:ascii="Times New Roman" w:hAnsi="Times New Roman" w:cs="Times New Roman"/>
          <w:b w:val="0"/>
          <w:bCs w:val="0"/>
          <w:color w:val="000000"/>
          <w:lang w:val="en-US" w:eastAsia="zh-CN"/>
        </w:rPr>
        <w:t>0.27</w:t>
      </w:r>
      <w:r>
        <w:rPr>
          <w:rStyle w:val="15"/>
          <w:rFonts w:hint="default" w:ascii="Times New Roman" w:hAnsi="Times New Roman" w:cs="Times New Roman"/>
          <w:b w:val="0"/>
          <w:bCs w:val="0"/>
          <w:color w:val="000000"/>
        </w:rPr>
        <w:t>万元，完成预算 100%</w:t>
      </w:r>
      <w:r>
        <w:rPr>
          <w:rStyle w:val="15"/>
          <w:rFonts w:hint="default" w:ascii="Times New Roman" w:hAnsi="Times New Roman" w:cs="Times New Roman"/>
          <w:b w:val="0"/>
          <w:bCs w:val="0"/>
          <w:color w:val="000000"/>
          <w:lang w:eastAsia="zh-CN"/>
        </w:rPr>
        <w:t>，</w:t>
      </w:r>
      <w:r>
        <w:rPr>
          <w:rFonts w:hint="default" w:ascii="Times New Roman" w:hAnsi="Times New Roman" w:cs="Times New Roman"/>
          <w:color w:val="000000"/>
          <w:lang w:eastAsia="zh-CN"/>
        </w:rPr>
        <w:t>决算数等于预算数。</w:t>
      </w:r>
      <w:r>
        <w:rPr>
          <w:rStyle w:val="15"/>
          <w:rFonts w:hint="default" w:ascii="Times New Roman" w:hAnsi="Times New Roman" w:cs="Times New Roman"/>
          <w:b w:val="0"/>
          <w:bCs w:val="0"/>
          <w:color w:val="000000"/>
        </w:rPr>
        <w:t>主要用于保障</w:t>
      </w:r>
      <w:r>
        <w:rPr>
          <w:rFonts w:hint="default" w:ascii="Times New Roman" w:hAnsi="Times New Roman" w:cs="Times New Roman"/>
          <w:color w:val="000000"/>
        </w:rPr>
        <w:t>自贡市政协办公室</w:t>
      </w:r>
      <w:r>
        <w:rPr>
          <w:rFonts w:hint="default" w:ascii="Times New Roman" w:hAnsi="Times New Roman" w:cs="Times New Roman"/>
          <w:color w:val="000000"/>
          <w:lang w:eastAsia="zh-CN"/>
        </w:rPr>
        <w:t>委员服务中心</w:t>
      </w:r>
      <w:r>
        <w:rPr>
          <w:rStyle w:val="15"/>
          <w:rFonts w:hint="default" w:ascii="Times New Roman" w:hAnsi="Times New Roman" w:cs="Times New Roman"/>
          <w:b w:val="0"/>
          <w:bCs w:val="0"/>
          <w:color w:val="000000"/>
        </w:rPr>
        <w:t>按照规定标准为职工缴纳的</w:t>
      </w:r>
      <w:r>
        <w:rPr>
          <w:rStyle w:val="15"/>
          <w:rFonts w:hint="default" w:ascii="Times New Roman" w:hAnsi="Times New Roman" w:cs="Times New Roman"/>
          <w:b w:val="0"/>
          <w:bCs w:val="0"/>
          <w:color w:val="000000"/>
          <w:lang w:eastAsia="zh-CN"/>
        </w:rPr>
        <w:t>医疗保险</w:t>
      </w:r>
      <w:r>
        <w:rPr>
          <w:rStyle w:val="15"/>
          <w:rFonts w:hint="default" w:ascii="Times New Roman" w:hAnsi="Times New Roman" w:cs="Times New Roman"/>
          <w:b w:val="0"/>
          <w:bCs w:val="0"/>
          <w:color w:val="000000"/>
        </w:rPr>
        <w:t>支出。</w:t>
      </w:r>
    </w:p>
    <w:p>
      <w:pPr>
        <w:spacing w:line="580" w:lineRule="exact"/>
        <w:ind w:firstLine="643" w:firstLineChars="200"/>
        <w:rPr>
          <w:rFonts w:hint="default" w:ascii="Times New Roman" w:hAnsi="Times New Roman" w:cs="Times New Roman"/>
          <w:color w:val="000000"/>
        </w:rPr>
      </w:pPr>
      <w:r>
        <w:rPr>
          <w:rStyle w:val="15"/>
          <w:rFonts w:hint="default" w:ascii="Times New Roman" w:hAnsi="Times New Roman" w:cs="Times New Roman"/>
          <w:b/>
          <w:bCs/>
          <w:color w:val="000000"/>
        </w:rPr>
        <w:t>1</w:t>
      </w:r>
      <w:r>
        <w:rPr>
          <w:rStyle w:val="15"/>
          <w:rFonts w:hint="default" w:ascii="Times New Roman" w:hAnsi="Times New Roman" w:cs="Times New Roman"/>
          <w:b/>
          <w:bCs/>
          <w:color w:val="000000"/>
          <w:lang w:val="en-US" w:eastAsia="zh-CN"/>
        </w:rPr>
        <w:t>1</w:t>
      </w:r>
      <w:r>
        <w:rPr>
          <w:rStyle w:val="15"/>
          <w:rFonts w:hint="default" w:ascii="Times New Roman" w:hAnsi="Times New Roman" w:cs="Times New Roman"/>
          <w:b/>
          <w:bCs/>
          <w:color w:val="000000"/>
        </w:rPr>
        <w:t>、住房保障支出（类）住房改革支出（款）住房公积金</w:t>
      </w:r>
      <w:r>
        <w:rPr>
          <w:rFonts w:hint="default" w:ascii="Times New Roman" w:hAnsi="Times New Roman" w:cs="Times New Roman"/>
          <w:b/>
          <w:bCs/>
          <w:color w:val="000000"/>
        </w:rPr>
        <w:t>：</w:t>
      </w:r>
      <w:r>
        <w:rPr>
          <w:rFonts w:hint="default" w:ascii="Times New Roman" w:hAnsi="Times New Roman" w:cs="Times New Roman"/>
          <w:color w:val="000000"/>
        </w:rPr>
        <w:t>支出决算为</w:t>
      </w:r>
      <w:r>
        <w:rPr>
          <w:rFonts w:hint="default" w:ascii="Times New Roman" w:hAnsi="Times New Roman" w:cs="Times New Roman"/>
          <w:color w:val="000000"/>
          <w:lang w:val="en-US" w:eastAsia="zh-CN"/>
        </w:rPr>
        <w:t>114.49</w:t>
      </w:r>
      <w:r>
        <w:rPr>
          <w:rFonts w:hint="default" w:ascii="Times New Roman" w:hAnsi="Times New Roman" w:cs="Times New Roman"/>
          <w:color w:val="000000"/>
        </w:rPr>
        <w:t>万元，</w:t>
      </w:r>
      <w:r>
        <w:rPr>
          <w:rStyle w:val="15"/>
          <w:rFonts w:hint="default" w:ascii="Times New Roman" w:hAnsi="Times New Roman" w:cs="Times New Roman"/>
          <w:b w:val="0"/>
          <w:bCs w:val="0"/>
          <w:color w:val="000000"/>
        </w:rPr>
        <w:t>完成预算 100%</w:t>
      </w:r>
      <w:r>
        <w:rPr>
          <w:rStyle w:val="15"/>
          <w:rFonts w:hint="default" w:ascii="Times New Roman" w:hAnsi="Times New Roman" w:cs="Times New Roman"/>
          <w:b w:val="0"/>
          <w:bCs w:val="0"/>
          <w:color w:val="000000"/>
          <w:lang w:eastAsia="zh-CN"/>
        </w:rPr>
        <w:t>，</w:t>
      </w:r>
      <w:r>
        <w:rPr>
          <w:rFonts w:hint="default" w:ascii="Times New Roman" w:hAnsi="Times New Roman" w:cs="Times New Roman"/>
          <w:color w:val="000000"/>
          <w:lang w:eastAsia="zh-CN"/>
        </w:rPr>
        <w:t>决算数等于预算数。</w:t>
      </w:r>
      <w:r>
        <w:rPr>
          <w:rStyle w:val="15"/>
          <w:rFonts w:hint="default" w:ascii="Times New Roman" w:hAnsi="Times New Roman" w:cs="Times New Roman"/>
          <w:b w:val="0"/>
          <w:bCs w:val="0"/>
          <w:color w:val="000000"/>
        </w:rPr>
        <w:t>主要用于保障</w:t>
      </w:r>
      <w:r>
        <w:rPr>
          <w:rFonts w:hint="default" w:ascii="Times New Roman" w:hAnsi="Times New Roman" w:cs="Times New Roman"/>
          <w:color w:val="000000"/>
        </w:rPr>
        <w:t>自贡市政协办公室</w:t>
      </w:r>
      <w:r>
        <w:rPr>
          <w:rFonts w:hint="default" w:ascii="Times New Roman" w:hAnsi="Times New Roman" w:cs="Times New Roman"/>
          <w:color w:val="000000"/>
          <w:lang w:eastAsia="zh-CN"/>
        </w:rPr>
        <w:t>、</w:t>
      </w:r>
      <w:r>
        <w:rPr>
          <w:rFonts w:hint="default" w:ascii="Times New Roman" w:hAnsi="Times New Roman" w:cs="Times New Roman"/>
          <w:color w:val="000000"/>
        </w:rPr>
        <w:t>自贡市政协办公室</w:t>
      </w:r>
      <w:r>
        <w:rPr>
          <w:rFonts w:hint="default" w:ascii="Times New Roman" w:hAnsi="Times New Roman" w:cs="Times New Roman"/>
          <w:color w:val="000000"/>
          <w:lang w:eastAsia="zh-CN"/>
        </w:rPr>
        <w:t>委员服务中心</w:t>
      </w:r>
      <w:r>
        <w:rPr>
          <w:rStyle w:val="15"/>
          <w:rFonts w:hint="default" w:ascii="Times New Roman" w:hAnsi="Times New Roman" w:cs="Times New Roman"/>
          <w:b w:val="0"/>
          <w:bCs w:val="0"/>
          <w:color w:val="000000"/>
        </w:rPr>
        <w:t>按照规定标准为职工缴纳的</w:t>
      </w:r>
      <w:r>
        <w:rPr>
          <w:rStyle w:val="15"/>
          <w:rFonts w:hint="default" w:ascii="Times New Roman" w:hAnsi="Times New Roman" w:cs="Times New Roman"/>
          <w:b w:val="0"/>
          <w:bCs w:val="0"/>
          <w:color w:val="000000"/>
          <w:lang w:eastAsia="zh-CN"/>
        </w:rPr>
        <w:t>住房公积金</w:t>
      </w:r>
      <w:r>
        <w:rPr>
          <w:rStyle w:val="15"/>
          <w:rFonts w:hint="default" w:ascii="Times New Roman" w:hAnsi="Times New Roman" w:cs="Times New Roman"/>
          <w:b w:val="0"/>
          <w:bCs w:val="0"/>
          <w:color w:val="000000"/>
        </w:rPr>
        <w:t>支出。</w:t>
      </w:r>
    </w:p>
    <w:p>
      <w:pPr>
        <w:tabs>
          <w:tab w:val="right" w:pos="8306"/>
        </w:tabs>
        <w:spacing w:line="580" w:lineRule="exact"/>
        <w:ind w:firstLine="640"/>
        <w:outlineLvl w:val="1"/>
        <w:rPr>
          <w:rStyle w:val="20"/>
          <w:rFonts w:hint="default" w:ascii="Times New Roman" w:hAnsi="Times New Roman" w:cs="Times New Roman"/>
          <w:b w:val="0"/>
          <w:bCs w:val="0"/>
        </w:rPr>
      </w:pPr>
      <w:bookmarkStart w:id="62" w:name="_Toc15377214"/>
      <w:bookmarkStart w:id="63" w:name="_Toc15167"/>
      <w:bookmarkStart w:id="64" w:name="_Toc23631"/>
      <w:bookmarkStart w:id="65" w:name="_Toc6635"/>
      <w:bookmarkStart w:id="66" w:name="_Toc23190"/>
      <w:bookmarkStart w:id="67" w:name="_Toc15396608"/>
      <w:r>
        <w:rPr>
          <w:rFonts w:hint="default" w:ascii="Times New Roman" w:hAnsi="Times New Roman" w:eastAsia="黑体" w:cs="Times New Roman"/>
          <w:color w:val="000000"/>
        </w:rPr>
        <w:t>六、一</w:t>
      </w:r>
      <w:r>
        <w:rPr>
          <w:rStyle w:val="20"/>
          <w:rFonts w:hint="default" w:ascii="Times New Roman" w:hAnsi="Times New Roman" w:eastAsia="黑体" w:cs="Times New Roman"/>
          <w:b w:val="0"/>
          <w:bCs w:val="0"/>
        </w:rPr>
        <w:t>般公共预算财政拨款基本支出决算情况说明</w:t>
      </w:r>
      <w:bookmarkEnd w:id="62"/>
      <w:bookmarkEnd w:id="63"/>
      <w:bookmarkEnd w:id="64"/>
      <w:bookmarkEnd w:id="65"/>
      <w:bookmarkEnd w:id="66"/>
      <w:bookmarkEnd w:id="67"/>
      <w:r>
        <w:rPr>
          <w:rStyle w:val="20"/>
          <w:rFonts w:hint="default" w:ascii="Times New Roman" w:hAnsi="Times New Roman" w:eastAsia="黑体" w:cs="Times New Roman"/>
          <w:b w:val="0"/>
          <w:bCs w:val="0"/>
        </w:rPr>
        <w:tab/>
      </w:r>
    </w:p>
    <w:p>
      <w:pPr>
        <w:spacing w:line="580" w:lineRule="exact"/>
        <w:ind w:firstLine="645"/>
        <w:rPr>
          <w:rFonts w:hint="default" w:ascii="Times New Roman" w:hAnsi="Times New Roman" w:cs="Times New Roman"/>
          <w:color w:val="000000"/>
        </w:rPr>
      </w:pPr>
      <w:r>
        <w:rPr>
          <w:rFonts w:hint="default" w:ascii="Times New Roman" w:hAnsi="Times New Roman" w:cs="Times New Roman"/>
          <w:color w:val="000000"/>
        </w:rPr>
        <w:t>202</w:t>
      </w:r>
      <w:r>
        <w:rPr>
          <w:rFonts w:hint="default" w:ascii="Times New Roman" w:hAnsi="Times New Roman" w:cs="Times New Roman"/>
          <w:color w:val="000000"/>
          <w:lang w:val="en-US" w:eastAsia="zh-CN"/>
        </w:rPr>
        <w:t>1</w:t>
      </w:r>
      <w:r>
        <w:rPr>
          <w:rFonts w:hint="default" w:ascii="Times New Roman" w:hAnsi="Times New Roman" w:cs="Times New Roman"/>
          <w:color w:val="000000"/>
        </w:rPr>
        <w:t>年一般公共预算财政拨款基本支出</w:t>
      </w:r>
      <w:r>
        <w:rPr>
          <w:rFonts w:hint="default" w:ascii="Times New Roman" w:hAnsi="Times New Roman" w:cs="Times New Roman"/>
          <w:color w:val="000000"/>
          <w:lang w:val="en-US" w:eastAsia="zh-CN"/>
        </w:rPr>
        <w:t>2059.43</w:t>
      </w:r>
      <w:r>
        <w:rPr>
          <w:rFonts w:hint="default" w:ascii="Times New Roman" w:hAnsi="Times New Roman" w:cs="Times New Roman"/>
          <w:color w:val="000000"/>
        </w:rPr>
        <w:t>万元，其中：</w:t>
      </w:r>
    </w:p>
    <w:p>
      <w:pPr>
        <w:spacing w:line="580" w:lineRule="exact"/>
        <w:ind w:firstLine="645"/>
        <w:rPr>
          <w:rFonts w:hint="default" w:ascii="Times New Roman" w:hAnsi="Times New Roman" w:eastAsia="仿宋_GB2312" w:cs="Times New Roman"/>
          <w:color w:val="000000"/>
          <w:lang w:eastAsia="zh-CN"/>
        </w:rPr>
      </w:pPr>
      <w:r>
        <w:rPr>
          <w:rFonts w:hint="default" w:ascii="Times New Roman" w:hAnsi="Times New Roman" w:cs="Times New Roman"/>
          <w:color w:val="000000"/>
        </w:rPr>
        <w:t>人员经费</w:t>
      </w:r>
      <w:r>
        <w:rPr>
          <w:rFonts w:hint="default" w:ascii="Times New Roman" w:hAnsi="Times New Roman" w:cs="Times New Roman"/>
          <w:color w:val="000000"/>
          <w:lang w:val="en-US" w:eastAsia="zh-CN"/>
        </w:rPr>
        <w:t>1657.52</w:t>
      </w:r>
      <w:r>
        <w:rPr>
          <w:rFonts w:hint="default" w:ascii="Times New Roman" w:hAnsi="Times New Roman" w:cs="Times New Roman"/>
          <w:color w:val="000000"/>
        </w:rPr>
        <w:t>万元，主要包括：基本工资、津贴补贴、奖金、</w:t>
      </w:r>
      <w:r>
        <w:rPr>
          <w:rFonts w:hint="default" w:ascii="Times New Roman" w:hAnsi="Times New Roman" w:cs="Times New Roman"/>
          <w:color w:val="000000"/>
          <w:lang w:eastAsia="zh-CN"/>
        </w:rPr>
        <w:t>绩效工资、</w:t>
      </w:r>
      <w:r>
        <w:rPr>
          <w:rFonts w:hint="default" w:ascii="Times New Roman" w:hAnsi="Times New Roman" w:cs="Times New Roman"/>
          <w:color w:val="000000"/>
        </w:rPr>
        <w:t>机关事业单位基本养老保险缴费、职业年金缴费、</w:t>
      </w:r>
      <w:r>
        <w:rPr>
          <w:rFonts w:hint="default" w:ascii="Times New Roman" w:hAnsi="Times New Roman" w:cs="Times New Roman"/>
          <w:color w:val="000000"/>
          <w:lang w:eastAsia="zh-CN"/>
        </w:rPr>
        <w:t>职工基本医疗保险缴费、</w:t>
      </w:r>
      <w:r>
        <w:rPr>
          <w:rFonts w:hint="default" w:ascii="Times New Roman" w:hAnsi="Times New Roman" w:cs="Times New Roman"/>
          <w:color w:val="000000"/>
        </w:rPr>
        <w:t>住房公积金、其他工资福利支出、离休费、退休费、抚恤金、</w:t>
      </w:r>
      <w:r>
        <w:rPr>
          <w:rFonts w:hint="default" w:ascii="Times New Roman" w:hAnsi="Times New Roman" w:cs="Times New Roman"/>
          <w:color w:val="000000"/>
          <w:lang w:eastAsia="zh-CN"/>
        </w:rPr>
        <w:t>生活补助、</w:t>
      </w:r>
      <w:r>
        <w:rPr>
          <w:rFonts w:hint="default" w:ascii="Times New Roman" w:hAnsi="Times New Roman" w:cs="Times New Roman"/>
          <w:color w:val="000000"/>
        </w:rPr>
        <w:t>其他对个人和家庭的补助支出。</w:t>
      </w:r>
    </w:p>
    <w:p>
      <w:pPr>
        <w:spacing w:line="580" w:lineRule="exact"/>
        <w:ind w:firstLine="645"/>
        <w:rPr>
          <w:rFonts w:hint="default" w:ascii="Times New Roman" w:hAnsi="Times New Roman" w:cs="Times New Roman"/>
          <w:color w:val="000000"/>
        </w:rPr>
      </w:pPr>
      <w:r>
        <w:rPr>
          <w:rFonts w:hint="default" w:ascii="Times New Roman" w:hAnsi="Times New Roman" w:cs="Times New Roman"/>
          <w:color w:val="000000"/>
        </w:rPr>
        <w:t>日常公用经费</w:t>
      </w:r>
      <w:r>
        <w:rPr>
          <w:rFonts w:hint="default" w:ascii="Times New Roman" w:hAnsi="Times New Roman" w:cs="Times New Roman"/>
          <w:color w:val="000000"/>
          <w:lang w:val="en-US" w:eastAsia="zh-CN"/>
        </w:rPr>
        <w:t>401.91</w:t>
      </w:r>
      <w:r>
        <w:rPr>
          <w:rFonts w:hint="default" w:ascii="Times New Roman" w:hAnsi="Times New Roman" w:cs="Times New Roman"/>
          <w:color w:val="000000"/>
        </w:rPr>
        <w:t>万元，主要包括：办公费、印刷费、</w:t>
      </w:r>
      <w:r>
        <w:rPr>
          <w:rFonts w:hint="default" w:ascii="Times New Roman" w:hAnsi="Times New Roman" w:cs="Times New Roman"/>
          <w:color w:val="000000"/>
          <w:lang w:eastAsia="zh-CN"/>
        </w:rPr>
        <w:t>手续费、</w:t>
      </w:r>
      <w:r>
        <w:rPr>
          <w:rFonts w:hint="default" w:ascii="Times New Roman" w:hAnsi="Times New Roman" w:cs="Times New Roman"/>
          <w:color w:val="000000"/>
        </w:rPr>
        <w:t>邮电费、物业管理费、差旅费、会议费、培训费、公务接待费、劳务费、工会经费、福利费、公务用车运行维护费、其他交通费、其他商品和服务支出。</w:t>
      </w:r>
    </w:p>
    <w:p>
      <w:pPr>
        <w:spacing w:line="580" w:lineRule="exact"/>
        <w:ind w:firstLine="640"/>
        <w:outlineLvl w:val="1"/>
        <w:rPr>
          <w:rStyle w:val="20"/>
          <w:rFonts w:hint="default" w:ascii="Times New Roman" w:hAnsi="Times New Roman" w:eastAsia="黑体" w:cs="Times New Roman"/>
          <w:b w:val="0"/>
          <w:bCs w:val="0"/>
        </w:rPr>
      </w:pPr>
      <w:bookmarkStart w:id="68" w:name="_Toc14629"/>
      <w:bookmarkStart w:id="69" w:name="_Toc17321"/>
      <w:bookmarkStart w:id="70" w:name="_Toc15396609"/>
      <w:bookmarkStart w:id="71" w:name="_Toc29300"/>
      <w:bookmarkStart w:id="72" w:name="_Toc25622"/>
      <w:bookmarkStart w:id="73" w:name="_Toc15377215"/>
      <w:r>
        <w:rPr>
          <w:rFonts w:hint="default" w:ascii="Times New Roman" w:hAnsi="Times New Roman" w:eastAsia="黑体" w:cs="Times New Roman"/>
          <w:color w:val="000000"/>
        </w:rPr>
        <w:t>七、</w:t>
      </w:r>
      <w:r>
        <w:rPr>
          <w:rStyle w:val="20"/>
          <w:rFonts w:hint="default" w:ascii="Times New Roman" w:hAnsi="Times New Roman" w:eastAsia="黑体" w:cs="Times New Roman"/>
          <w:b w:val="0"/>
          <w:bCs w:val="0"/>
        </w:rPr>
        <w:t>“三公”经费财政拨款支出决算情况说明</w:t>
      </w:r>
      <w:bookmarkEnd w:id="68"/>
      <w:bookmarkEnd w:id="69"/>
      <w:bookmarkEnd w:id="70"/>
      <w:bookmarkEnd w:id="71"/>
      <w:bookmarkEnd w:id="72"/>
      <w:bookmarkEnd w:id="73"/>
    </w:p>
    <w:p>
      <w:pPr>
        <w:spacing w:line="580" w:lineRule="exact"/>
        <w:ind w:firstLine="640"/>
        <w:outlineLvl w:val="2"/>
        <w:rPr>
          <w:rFonts w:hint="default" w:ascii="Times New Roman" w:hAnsi="Times New Roman" w:eastAsia="楷体" w:cs="Times New Roman"/>
          <w:b/>
          <w:bCs/>
          <w:color w:val="000000"/>
        </w:rPr>
      </w:pPr>
      <w:bookmarkStart w:id="74" w:name="_Toc15377216"/>
      <w:r>
        <w:rPr>
          <w:rFonts w:hint="default" w:ascii="Times New Roman" w:hAnsi="Times New Roman" w:eastAsia="楷体" w:cs="Times New Roman"/>
          <w:b/>
          <w:bCs/>
          <w:color w:val="000000"/>
        </w:rPr>
        <w:t>（一）“三公”经费财政拨款支出决算总体情况说明</w:t>
      </w:r>
      <w:bookmarkEnd w:id="74"/>
    </w:p>
    <w:p>
      <w:pPr>
        <w:spacing w:line="580" w:lineRule="exact"/>
        <w:ind w:firstLine="640"/>
        <w:rPr>
          <w:rFonts w:hint="default" w:ascii="Times New Roman" w:hAnsi="Times New Roman" w:eastAsia="仿宋_GB2312" w:cs="Times New Roman"/>
          <w:color w:val="000000"/>
          <w:lang w:eastAsia="zh-CN"/>
        </w:rPr>
      </w:pPr>
      <w:r>
        <w:rPr>
          <w:rFonts w:hint="default" w:ascii="Times New Roman" w:hAnsi="Times New Roman" w:cs="Times New Roman"/>
          <w:color w:val="000000"/>
        </w:rPr>
        <w:t>202</w:t>
      </w:r>
      <w:r>
        <w:rPr>
          <w:rFonts w:hint="default" w:ascii="Times New Roman" w:hAnsi="Times New Roman" w:cs="Times New Roman"/>
          <w:color w:val="000000"/>
          <w:lang w:val="en-US" w:eastAsia="zh-CN"/>
        </w:rPr>
        <w:t>1</w:t>
      </w:r>
      <w:r>
        <w:rPr>
          <w:rFonts w:hint="default" w:ascii="Times New Roman" w:hAnsi="Times New Roman" w:cs="Times New Roman"/>
          <w:color w:val="000000"/>
        </w:rPr>
        <w:t>年“三公”经费财政拨款支出决算为</w:t>
      </w:r>
      <w:r>
        <w:rPr>
          <w:rFonts w:hint="default" w:ascii="Times New Roman" w:hAnsi="Times New Roman" w:cs="Times New Roman"/>
          <w:color w:val="000000"/>
          <w:lang w:val="en-US" w:eastAsia="zh-CN"/>
        </w:rPr>
        <w:t>38.25</w:t>
      </w:r>
      <w:r>
        <w:rPr>
          <w:rFonts w:hint="default" w:ascii="Times New Roman" w:hAnsi="Times New Roman" w:cs="Times New Roman"/>
          <w:color w:val="000000"/>
        </w:rPr>
        <w:t>万元，完成预算</w:t>
      </w:r>
      <w:r>
        <w:rPr>
          <w:rFonts w:hint="default" w:ascii="Times New Roman" w:hAnsi="Times New Roman" w:cs="Times New Roman"/>
          <w:color w:val="000000"/>
          <w:lang w:val="en-US" w:eastAsia="zh-CN"/>
        </w:rPr>
        <w:t>81.38</w:t>
      </w:r>
      <w:r>
        <w:rPr>
          <w:rFonts w:hint="default" w:ascii="Times New Roman" w:hAnsi="Times New Roman" w:cs="Times New Roman"/>
          <w:color w:val="000000"/>
        </w:rPr>
        <w:t>%</w:t>
      </w:r>
      <w:bookmarkStart w:id="75" w:name="_Hlk82876779"/>
      <w:r>
        <w:rPr>
          <w:rFonts w:hint="default" w:ascii="Times New Roman" w:hAnsi="Times New Roman" w:cs="Times New Roman"/>
          <w:color w:val="000000"/>
        </w:rPr>
        <w:t>。“三公”经费支出决算比20</w:t>
      </w:r>
      <w:r>
        <w:rPr>
          <w:rFonts w:hint="default" w:ascii="Times New Roman" w:hAnsi="Times New Roman" w:cs="Times New Roman"/>
          <w:color w:val="000000"/>
          <w:lang w:val="en-US" w:eastAsia="zh-CN"/>
        </w:rPr>
        <w:t>20</w:t>
      </w:r>
      <w:r>
        <w:rPr>
          <w:rFonts w:hint="default" w:ascii="Times New Roman" w:hAnsi="Times New Roman" w:cs="Times New Roman"/>
          <w:color w:val="000000"/>
        </w:rPr>
        <w:t>年减少</w:t>
      </w:r>
      <w:r>
        <w:rPr>
          <w:rFonts w:hint="default" w:ascii="Times New Roman" w:hAnsi="Times New Roman" w:cs="Times New Roman"/>
          <w:color w:val="000000"/>
          <w:lang w:val="en-US" w:eastAsia="zh-CN"/>
        </w:rPr>
        <w:t>16.08</w:t>
      </w:r>
      <w:r>
        <w:rPr>
          <w:rFonts w:hint="default" w:ascii="Times New Roman" w:hAnsi="Times New Roman" w:cs="Times New Roman"/>
          <w:color w:val="000000"/>
        </w:rPr>
        <w:t>万元，下降</w:t>
      </w:r>
      <w:r>
        <w:rPr>
          <w:rFonts w:hint="default" w:ascii="Times New Roman" w:hAnsi="Times New Roman" w:cs="Times New Roman"/>
          <w:color w:val="000000"/>
          <w:lang w:val="en-US" w:eastAsia="zh-CN"/>
        </w:rPr>
        <w:t>29.60</w:t>
      </w:r>
      <w:r>
        <w:rPr>
          <w:rFonts w:hint="default" w:ascii="Times New Roman" w:hAnsi="Times New Roman" w:cs="Times New Roman"/>
          <w:color w:val="000000"/>
        </w:rPr>
        <w:t>%，</w:t>
      </w:r>
      <w:bookmarkEnd w:id="75"/>
      <w:r>
        <w:rPr>
          <w:rFonts w:hint="default" w:ascii="Times New Roman" w:hAnsi="Times New Roman" w:cs="Times New Roman"/>
          <w:color w:val="000000"/>
        </w:rPr>
        <w:t>主要原因</w:t>
      </w:r>
      <w:bookmarkStart w:id="76" w:name="_Toc15377217"/>
      <w:r>
        <w:rPr>
          <w:rFonts w:hint="default" w:ascii="Times New Roman" w:hAnsi="Times New Roman" w:cs="Times New Roman"/>
          <w:color w:val="000000"/>
        </w:rPr>
        <w:t>：</w:t>
      </w:r>
      <w:bookmarkStart w:id="77" w:name="_Hlk82876954"/>
      <w:r>
        <w:rPr>
          <w:rFonts w:hint="default" w:ascii="Times New Roman" w:hAnsi="Times New Roman" w:cs="Times New Roman"/>
          <w:color w:val="000000"/>
          <w:szCs w:val="32"/>
        </w:rPr>
        <w:t>一是2021年机关严格按照中央、省市委关于厉行节约的有关规定，严格机关公车使用及维护费开支</w:t>
      </w:r>
      <w:r>
        <w:rPr>
          <w:rFonts w:hint="default" w:ascii="Times New Roman" w:hAnsi="Times New Roman" w:cs="Times New Roman"/>
          <w:color w:val="000000"/>
          <w:szCs w:val="32"/>
          <w:lang w:eastAsia="zh-CN"/>
        </w:rPr>
        <w:t>；</w:t>
      </w:r>
      <w:r>
        <w:rPr>
          <w:rFonts w:hint="default" w:ascii="Times New Roman" w:hAnsi="Times New Roman" w:cs="Times New Roman"/>
          <w:color w:val="000000"/>
          <w:szCs w:val="32"/>
        </w:rPr>
        <w:t>二是受新冠肺炎疫情影响，机关统筹安排公务活动减少公车出行，全年公车运行维护费较上年有所减少</w:t>
      </w:r>
      <w:bookmarkEnd w:id="77"/>
      <w:r>
        <w:rPr>
          <w:rFonts w:hint="default" w:ascii="Times New Roman" w:hAnsi="Times New Roman" w:cs="Times New Roman"/>
          <w:color w:val="000000"/>
          <w:szCs w:val="32"/>
          <w:lang w:eastAsia="zh-CN"/>
        </w:rPr>
        <w:t>；三是</w:t>
      </w:r>
      <w:r>
        <w:rPr>
          <w:rFonts w:hint="default" w:ascii="Times New Roman" w:hAnsi="Times New Roman" w:cs="Times New Roman"/>
          <w:szCs w:val="32"/>
        </w:rPr>
        <w:t>2020年</w:t>
      </w:r>
      <w:r>
        <w:rPr>
          <w:rFonts w:hint="default" w:ascii="Times New Roman" w:hAnsi="Times New Roman" w:cs="Times New Roman"/>
          <w:szCs w:val="32"/>
          <w:lang w:eastAsia="zh-CN"/>
        </w:rPr>
        <w:t>，时任市政协主席</w:t>
      </w:r>
      <w:r>
        <w:rPr>
          <w:rFonts w:hint="default" w:ascii="Times New Roman" w:hAnsi="Times New Roman" w:cs="Times New Roman"/>
          <w:szCs w:val="32"/>
        </w:rPr>
        <w:t>牵头</w:t>
      </w:r>
      <w:r>
        <w:rPr>
          <w:rFonts w:hint="default" w:ascii="Times New Roman" w:hAnsi="Times New Roman" w:cs="Times New Roman"/>
          <w:szCs w:val="32"/>
          <w:lang w:eastAsia="zh-CN"/>
        </w:rPr>
        <w:t>负责</w:t>
      </w:r>
      <w:r>
        <w:rPr>
          <w:rFonts w:hint="default" w:ascii="Times New Roman" w:hAnsi="Times New Roman" w:cs="Times New Roman"/>
          <w:szCs w:val="32"/>
        </w:rPr>
        <w:t>荣县双石镇乡村振兴示范镇</w:t>
      </w:r>
      <w:r>
        <w:rPr>
          <w:rFonts w:hint="default" w:ascii="Times New Roman" w:hAnsi="Times New Roman" w:cs="Times New Roman"/>
          <w:szCs w:val="32"/>
          <w:lang w:eastAsia="zh-CN"/>
        </w:rPr>
        <w:t>创建工作</w:t>
      </w:r>
      <w:r>
        <w:rPr>
          <w:rFonts w:hint="default" w:ascii="Times New Roman" w:hAnsi="Times New Roman" w:cs="Times New Roman"/>
          <w:szCs w:val="32"/>
        </w:rPr>
        <w:t>，</w:t>
      </w:r>
      <w:r>
        <w:rPr>
          <w:rFonts w:hint="default" w:ascii="Times New Roman" w:hAnsi="Times New Roman" w:eastAsia="仿宋_GB2312" w:cs="Times New Roman"/>
          <w:sz w:val="32"/>
          <w:szCs w:val="32"/>
        </w:rPr>
        <w:t>为实现“大突破”目标任务，市政协全力推进双石镇乡村振兴示范镇建设，引进了一大批企业和项目，同时也产生了大量的接待费用，</w:t>
      </w:r>
      <w:r>
        <w:rPr>
          <w:rFonts w:hint="default" w:ascii="Times New Roman" w:hAnsi="Times New Roman" w:cs="Times New Roman"/>
          <w:sz w:val="32"/>
          <w:szCs w:val="32"/>
          <w:lang w:eastAsia="zh-CN"/>
        </w:rPr>
        <w:t>在公务接待中招商引资接待占比较大。</w:t>
      </w:r>
      <w:r>
        <w:rPr>
          <w:rFonts w:hint="default" w:ascii="Times New Roman" w:hAnsi="Times New Roman" w:cs="Times New Roman"/>
          <w:szCs w:val="32"/>
        </w:rPr>
        <w:t>2021年</w:t>
      </w:r>
      <w:r>
        <w:rPr>
          <w:rFonts w:hint="default" w:ascii="Times New Roman" w:hAnsi="Times New Roman" w:cs="Times New Roman"/>
          <w:szCs w:val="32"/>
          <w:lang w:eastAsia="zh-CN"/>
        </w:rPr>
        <w:t>公务接待中</w:t>
      </w:r>
      <w:r>
        <w:rPr>
          <w:rFonts w:hint="default" w:ascii="Times New Roman" w:hAnsi="Times New Roman" w:cs="Times New Roman"/>
          <w:sz w:val="32"/>
          <w:szCs w:val="32"/>
          <w:lang w:eastAsia="zh-CN"/>
        </w:rPr>
        <w:t>招商引资接待大幅减少</w:t>
      </w:r>
      <w:r>
        <w:rPr>
          <w:rFonts w:hint="default" w:ascii="Times New Roman" w:hAnsi="Times New Roman" w:cs="Times New Roman"/>
          <w:szCs w:val="32"/>
        </w:rPr>
        <w:t>，相应减少公务接待支出。</w:t>
      </w:r>
    </w:p>
    <w:p>
      <w:pPr>
        <w:spacing w:line="580" w:lineRule="exact"/>
        <w:ind w:firstLine="640"/>
        <w:rPr>
          <w:rFonts w:hint="default" w:ascii="Times New Roman" w:hAnsi="Times New Roman" w:eastAsia="楷体" w:cs="Times New Roman"/>
          <w:b/>
          <w:bCs/>
          <w:color w:val="000000"/>
        </w:rPr>
      </w:pPr>
      <w:r>
        <w:rPr>
          <w:rFonts w:hint="default" w:ascii="Times New Roman" w:hAnsi="Times New Roman" w:eastAsia="楷体" w:cs="Times New Roman"/>
          <w:b/>
          <w:bCs/>
          <w:color w:val="000000"/>
        </w:rPr>
        <w:t>（二）“三公”经费财政拨款支出决算具体情况说明</w:t>
      </w:r>
      <w:bookmarkEnd w:id="76"/>
    </w:p>
    <w:p>
      <w:pPr>
        <w:spacing w:line="580" w:lineRule="exact"/>
        <w:ind w:firstLine="640"/>
        <w:rPr>
          <w:rFonts w:hint="default" w:ascii="Times New Roman" w:hAnsi="Times New Roman" w:cs="Times New Roman"/>
          <w:color w:val="000000"/>
        </w:rPr>
      </w:pPr>
      <w:r>
        <w:rPr>
          <w:rFonts w:hint="default" w:ascii="Times New Roman" w:hAnsi="Times New Roman" w:cs="Times New Roman"/>
          <w:color w:val="000000"/>
        </w:rPr>
        <w:t>202</w:t>
      </w:r>
      <w:r>
        <w:rPr>
          <w:rFonts w:hint="default" w:ascii="Times New Roman" w:hAnsi="Times New Roman" w:cs="Times New Roman"/>
          <w:color w:val="000000"/>
          <w:lang w:val="en-US" w:eastAsia="zh-CN"/>
        </w:rPr>
        <w:t>1</w:t>
      </w:r>
      <w:r>
        <w:rPr>
          <w:rFonts w:hint="default" w:ascii="Times New Roman" w:hAnsi="Times New Roman" w:cs="Times New Roman"/>
          <w:color w:val="000000"/>
        </w:rPr>
        <w:t>年“三公”经费财政拨款支出决算中，因公出国（境）费支出决算0万元，占0%；公务用车购置及运行维护费支出决算</w:t>
      </w:r>
      <w:r>
        <w:rPr>
          <w:rFonts w:hint="default" w:ascii="Times New Roman" w:hAnsi="Times New Roman" w:cs="Times New Roman"/>
          <w:color w:val="000000"/>
          <w:lang w:val="en-US" w:eastAsia="zh-CN"/>
        </w:rPr>
        <w:t>33.07</w:t>
      </w:r>
      <w:r>
        <w:rPr>
          <w:rFonts w:hint="default" w:ascii="Times New Roman" w:hAnsi="Times New Roman" w:cs="Times New Roman"/>
          <w:color w:val="000000"/>
        </w:rPr>
        <w:t>万元，占</w:t>
      </w:r>
      <w:r>
        <w:rPr>
          <w:rFonts w:hint="default" w:ascii="Times New Roman" w:hAnsi="Times New Roman" w:cs="Times New Roman"/>
          <w:color w:val="000000"/>
          <w:lang w:val="en-US" w:eastAsia="zh-CN"/>
        </w:rPr>
        <w:t>86.46</w:t>
      </w:r>
      <w:r>
        <w:rPr>
          <w:rFonts w:hint="default" w:ascii="Times New Roman" w:hAnsi="Times New Roman" w:cs="Times New Roman"/>
          <w:color w:val="000000"/>
        </w:rPr>
        <w:t>%；公务接待费支出决算</w:t>
      </w:r>
      <w:r>
        <w:rPr>
          <w:rFonts w:hint="default" w:ascii="Times New Roman" w:hAnsi="Times New Roman" w:cs="Times New Roman"/>
          <w:color w:val="000000"/>
          <w:lang w:val="en-US" w:eastAsia="zh-CN"/>
        </w:rPr>
        <w:t>5.18</w:t>
      </w:r>
      <w:r>
        <w:rPr>
          <w:rFonts w:hint="default" w:ascii="Times New Roman" w:hAnsi="Times New Roman" w:cs="Times New Roman"/>
          <w:color w:val="000000"/>
        </w:rPr>
        <w:t>万元，占</w:t>
      </w:r>
      <w:r>
        <w:rPr>
          <w:rFonts w:hint="default" w:ascii="Times New Roman" w:hAnsi="Times New Roman" w:cs="Times New Roman"/>
          <w:color w:val="000000"/>
          <w:lang w:val="en-US" w:eastAsia="zh-CN"/>
        </w:rPr>
        <w:t>13.54</w:t>
      </w:r>
      <w:r>
        <w:rPr>
          <w:rFonts w:hint="default" w:ascii="Times New Roman" w:hAnsi="Times New Roman" w:cs="Times New Roman"/>
          <w:color w:val="000000"/>
        </w:rPr>
        <w:t>%。具体情况如下：</w:t>
      </w:r>
    </w:p>
    <w:p>
      <w:pPr>
        <w:spacing w:line="580" w:lineRule="exact"/>
        <w:rPr>
          <w:rFonts w:hint="default" w:ascii="Times New Roman" w:hAnsi="Times New Roman" w:eastAsia="仿宋" w:cs="Times New Roman"/>
          <w:color w:val="000000"/>
        </w:rPr>
      </w:pPr>
      <w:r>
        <w:rPr>
          <w:rFonts w:hint="default" w:ascii="Times New Roman" w:hAnsi="Times New Roman" w:cs="Times New Roman"/>
        </w:rPr>
        <w:pict>
          <v:shape id="_x0000_s1032" o:spid="_x0000_s1032" o:spt="202" type="#_x0000_t202" style="position:absolute;left:0pt;margin-left:39.6pt;margin-top:3.6pt;height:171.6pt;width:351pt;mso-wrap-style:none;z-index:251665408;mso-width-relative:page;mso-height-relative:page;" filled="f" stroked="f" coordsize="21600,21600">
            <v:path/>
            <v:fill on="f" focussize="0,0"/>
            <v:stroke on="f" joinstyle="miter"/>
            <v:imagedata o:title=""/>
            <o:lock v:ext="edit"/>
            <v:textbox style="mso-fit-shape-to-text:t;">
              <w:txbxContent>
                <w:p>
                  <w:r>
                    <w:object>
                      <v:shape id="_x0000_i1028" o:spt="75" type="#_x0000_t75" style="height:136.05pt;width:348pt;" o:ole="t" filled="f" o:preferrelative="t" stroked="f" coordsize="21600,21600">
                        <v:path/>
                        <v:fill on="f" focussize="0,0"/>
                        <v:stroke on="f"/>
                        <v:imagedata r:id="rId18" o:title=""/>
                        <o:lock v:ext="edit" aspectratio="t"/>
                        <w10:wrap type="none"/>
                        <w10:anchorlock/>
                      </v:shape>
                      <o:OLEObject Type="Embed" ProgID="MSGraph.Chart.8" ShapeID="_x0000_i1028" DrawAspect="Content" ObjectID="_1468075731" r:id="rId17">
                        <o:LockedField>false</o:LockedField>
                      </o:OLEObject>
                    </w:object>
                  </w:r>
                </w:p>
              </w:txbxContent>
            </v:textbox>
          </v:shape>
        </w:pict>
      </w:r>
    </w:p>
    <w:p>
      <w:pPr>
        <w:spacing w:line="580" w:lineRule="exact"/>
        <w:ind w:firstLine="640"/>
        <w:rPr>
          <w:rFonts w:hint="default" w:ascii="Times New Roman" w:hAnsi="Times New Roman" w:eastAsia="仿宋" w:cs="Times New Roman"/>
          <w:color w:val="000000"/>
        </w:rPr>
      </w:pPr>
    </w:p>
    <w:p>
      <w:pPr>
        <w:spacing w:line="580" w:lineRule="exact"/>
        <w:ind w:firstLine="640"/>
        <w:rPr>
          <w:rFonts w:hint="default" w:ascii="Times New Roman" w:hAnsi="Times New Roman" w:eastAsia="仿宋" w:cs="Times New Roman"/>
          <w:color w:val="000000"/>
        </w:rPr>
      </w:pPr>
    </w:p>
    <w:p>
      <w:pPr>
        <w:spacing w:line="580" w:lineRule="exact"/>
        <w:rPr>
          <w:rFonts w:hint="default" w:ascii="Times New Roman" w:hAnsi="Times New Roman" w:eastAsia="仿宋" w:cs="Times New Roman"/>
          <w:color w:val="000000"/>
        </w:rPr>
      </w:pPr>
    </w:p>
    <w:p>
      <w:pPr>
        <w:spacing w:line="580" w:lineRule="exact"/>
        <w:ind w:firstLine="640"/>
        <w:rPr>
          <w:rFonts w:hint="default" w:ascii="Times New Roman" w:hAnsi="Times New Roman" w:eastAsia="仿宋" w:cs="Times New Roman"/>
          <w:color w:val="000000"/>
        </w:rPr>
      </w:pPr>
    </w:p>
    <w:p>
      <w:pPr>
        <w:spacing w:line="580" w:lineRule="exact"/>
        <w:ind w:firstLine="640"/>
        <w:rPr>
          <w:rFonts w:hint="default" w:ascii="Times New Roman" w:hAnsi="Times New Roman" w:eastAsia="仿宋" w:cs="Times New Roman"/>
          <w:color w:val="000000"/>
        </w:rPr>
      </w:pPr>
      <w:r>
        <w:rPr>
          <w:rFonts w:hint="default" w:ascii="Times New Roman" w:hAnsi="Times New Roman" w:eastAsia="仿宋" w:cs="Times New Roman"/>
          <w:color w:val="000000"/>
        </w:rPr>
        <w:t>（图7：“三公”经费财政拨款支出结构）</w:t>
      </w:r>
    </w:p>
    <w:p>
      <w:pPr>
        <w:spacing w:line="580" w:lineRule="exact"/>
        <w:ind w:firstLine="641"/>
        <w:rPr>
          <w:rFonts w:hint="default" w:ascii="Times New Roman" w:hAnsi="Times New Roman" w:cs="Times New Roman"/>
          <w:color w:val="000000"/>
        </w:rPr>
      </w:pPr>
      <w:r>
        <w:rPr>
          <w:rFonts w:hint="default" w:ascii="Times New Roman" w:hAnsi="Times New Roman" w:cs="Times New Roman"/>
          <w:b/>
          <w:bCs/>
          <w:color w:val="000000"/>
        </w:rPr>
        <w:t>1、因公出国（境）经费支出</w:t>
      </w:r>
      <w:r>
        <w:rPr>
          <w:rFonts w:hint="default" w:ascii="Times New Roman" w:hAnsi="Times New Roman" w:cs="Times New Roman"/>
          <w:color w:val="000000"/>
        </w:rPr>
        <w:t>0万元，</w:t>
      </w:r>
      <w:r>
        <w:rPr>
          <w:rStyle w:val="15"/>
          <w:rFonts w:hint="default" w:ascii="Times New Roman" w:hAnsi="Times New Roman" w:cs="Times New Roman"/>
          <w:b w:val="0"/>
          <w:bCs w:val="0"/>
          <w:color w:val="000000"/>
        </w:rPr>
        <w:t>此项年初无预算。支出决算与上年持平。</w:t>
      </w:r>
    </w:p>
    <w:p>
      <w:pPr>
        <w:spacing w:line="580" w:lineRule="exact"/>
        <w:ind w:firstLine="641"/>
        <w:rPr>
          <w:rFonts w:hint="default" w:ascii="Times New Roman" w:hAnsi="Times New Roman" w:cs="Times New Roman"/>
          <w:color w:val="000000"/>
        </w:rPr>
      </w:pPr>
      <w:r>
        <w:rPr>
          <w:rFonts w:hint="default" w:ascii="Times New Roman" w:hAnsi="Times New Roman" w:cs="Times New Roman"/>
          <w:b/>
          <w:bCs/>
          <w:color w:val="000000"/>
        </w:rPr>
        <w:t>2、公务用车购置及运行维护费支出</w:t>
      </w:r>
      <w:r>
        <w:rPr>
          <w:rFonts w:hint="default" w:ascii="Times New Roman" w:hAnsi="Times New Roman" w:cs="Times New Roman"/>
          <w:color w:val="000000"/>
          <w:lang w:val="en-US" w:eastAsia="zh-CN"/>
        </w:rPr>
        <w:t>33.07</w:t>
      </w:r>
      <w:r>
        <w:rPr>
          <w:rFonts w:hint="default" w:ascii="Times New Roman" w:hAnsi="Times New Roman" w:cs="Times New Roman"/>
          <w:color w:val="000000"/>
        </w:rPr>
        <w:t>万元,</w:t>
      </w:r>
      <w:r>
        <w:rPr>
          <w:rStyle w:val="15"/>
          <w:rFonts w:hint="default" w:ascii="Times New Roman" w:hAnsi="Times New Roman" w:cs="Times New Roman"/>
          <w:b w:val="0"/>
          <w:bCs w:val="0"/>
          <w:color w:val="000000"/>
        </w:rPr>
        <w:t>完成预算</w:t>
      </w:r>
      <w:r>
        <w:rPr>
          <w:rStyle w:val="15"/>
          <w:rFonts w:hint="default" w:ascii="Times New Roman" w:hAnsi="Times New Roman" w:cs="Times New Roman"/>
          <w:b w:val="0"/>
          <w:bCs w:val="0"/>
          <w:color w:val="000000"/>
          <w:lang w:val="en-US" w:eastAsia="zh-CN"/>
        </w:rPr>
        <w:t>82.68</w:t>
      </w:r>
      <w:r>
        <w:rPr>
          <w:rStyle w:val="15"/>
          <w:rFonts w:hint="default" w:ascii="Times New Roman" w:hAnsi="Times New Roman" w:cs="Times New Roman"/>
          <w:b w:val="0"/>
          <w:bCs w:val="0"/>
          <w:color w:val="000000"/>
        </w:rPr>
        <w:t>%。</w:t>
      </w:r>
      <w:r>
        <w:rPr>
          <w:rFonts w:hint="default" w:ascii="Times New Roman" w:hAnsi="Times New Roman" w:cs="Times New Roman"/>
          <w:color w:val="000000"/>
        </w:rPr>
        <w:t>公务用车购置及运行维护费支出决算比20</w:t>
      </w:r>
      <w:r>
        <w:rPr>
          <w:rFonts w:hint="default" w:ascii="Times New Roman" w:hAnsi="Times New Roman" w:cs="Times New Roman"/>
          <w:color w:val="000000"/>
          <w:lang w:val="en-US" w:eastAsia="zh-CN"/>
        </w:rPr>
        <w:t>20</w:t>
      </w:r>
      <w:r>
        <w:rPr>
          <w:rFonts w:hint="default" w:ascii="Times New Roman" w:hAnsi="Times New Roman" w:cs="Times New Roman"/>
          <w:color w:val="000000"/>
        </w:rPr>
        <w:t>年减少</w:t>
      </w:r>
      <w:r>
        <w:rPr>
          <w:rFonts w:hint="default" w:ascii="Times New Roman" w:hAnsi="Times New Roman" w:cs="Times New Roman"/>
          <w:color w:val="000000"/>
          <w:lang w:val="en-US" w:eastAsia="zh-CN"/>
        </w:rPr>
        <w:t>11.25</w:t>
      </w:r>
      <w:r>
        <w:rPr>
          <w:rFonts w:hint="default" w:ascii="Times New Roman" w:hAnsi="Times New Roman" w:cs="Times New Roman"/>
          <w:color w:val="000000"/>
        </w:rPr>
        <w:t>万元，下降</w:t>
      </w:r>
      <w:r>
        <w:rPr>
          <w:rFonts w:hint="default" w:ascii="Times New Roman" w:hAnsi="Times New Roman" w:cs="Times New Roman"/>
          <w:color w:val="000000"/>
          <w:lang w:val="en-US" w:eastAsia="zh-CN"/>
        </w:rPr>
        <w:t>25.38</w:t>
      </w:r>
      <w:r>
        <w:rPr>
          <w:rFonts w:hint="default" w:ascii="Times New Roman" w:hAnsi="Times New Roman" w:cs="Times New Roman"/>
          <w:color w:val="000000"/>
        </w:rPr>
        <w:t>%。</w:t>
      </w:r>
      <w:r>
        <w:rPr>
          <w:rFonts w:hint="default" w:ascii="Times New Roman" w:hAnsi="Times New Roman" w:cs="Times New Roman"/>
          <w:color w:val="000000"/>
          <w:szCs w:val="32"/>
        </w:rPr>
        <w:t>主要原因：一是2021年机关严格按照中央、省市委关于厉行节约的有关规定，严格机关公车使用及维护费开支</w:t>
      </w:r>
      <w:r>
        <w:rPr>
          <w:rFonts w:hint="default" w:ascii="Times New Roman" w:hAnsi="Times New Roman" w:cs="Times New Roman"/>
          <w:color w:val="000000"/>
          <w:szCs w:val="32"/>
          <w:lang w:eastAsia="zh-CN"/>
        </w:rPr>
        <w:t>；</w:t>
      </w:r>
      <w:r>
        <w:rPr>
          <w:rFonts w:hint="default" w:ascii="Times New Roman" w:hAnsi="Times New Roman" w:cs="Times New Roman"/>
          <w:color w:val="000000"/>
          <w:szCs w:val="32"/>
        </w:rPr>
        <w:t>二是受新冠肺炎疫情影响，机关统筹安排公务活动减少公车出行，全年公车运行维护费较上年有所减少。</w:t>
      </w:r>
    </w:p>
    <w:p>
      <w:pPr>
        <w:spacing w:line="580" w:lineRule="exact"/>
        <w:ind w:firstLine="641"/>
        <w:rPr>
          <w:rFonts w:hint="default" w:ascii="Times New Roman" w:hAnsi="Times New Roman" w:cs="Times New Roman"/>
          <w:color w:val="000000"/>
        </w:rPr>
      </w:pPr>
      <w:r>
        <w:rPr>
          <w:rFonts w:hint="default" w:ascii="Times New Roman" w:hAnsi="Times New Roman" w:cs="Times New Roman"/>
          <w:color w:val="000000"/>
        </w:rPr>
        <w:t>其中：</w:t>
      </w:r>
      <w:r>
        <w:rPr>
          <w:rFonts w:hint="default" w:ascii="Times New Roman" w:hAnsi="Times New Roman" w:cs="Times New Roman"/>
          <w:b/>
          <w:bCs/>
          <w:color w:val="000000"/>
        </w:rPr>
        <w:t>公务用车购置支出</w:t>
      </w:r>
      <w:r>
        <w:rPr>
          <w:rFonts w:hint="default" w:ascii="Times New Roman" w:hAnsi="Times New Roman" w:cs="Times New Roman"/>
          <w:color w:val="000000"/>
        </w:rPr>
        <w:t>0万元。全年未更新购置公务用车。截至202</w:t>
      </w:r>
      <w:r>
        <w:rPr>
          <w:rFonts w:hint="default" w:ascii="Times New Roman" w:hAnsi="Times New Roman" w:cs="Times New Roman"/>
          <w:color w:val="000000"/>
          <w:lang w:val="en-US" w:eastAsia="zh-CN"/>
        </w:rPr>
        <w:t>1</w:t>
      </w:r>
      <w:r>
        <w:rPr>
          <w:rFonts w:hint="default" w:ascii="Times New Roman" w:hAnsi="Times New Roman" w:cs="Times New Roman"/>
          <w:color w:val="000000"/>
        </w:rPr>
        <w:t>年12月底</w:t>
      </w:r>
      <w:r>
        <w:rPr>
          <w:rFonts w:hint="default" w:ascii="Times New Roman" w:hAnsi="Times New Roman" w:cs="Times New Roman"/>
          <w:color w:val="000000"/>
          <w:highlight w:val="none"/>
        </w:rPr>
        <w:t>，单位共有公务用车7辆，其中：轿车5辆、越野车1辆、载客汽车1辆。</w:t>
      </w:r>
    </w:p>
    <w:p>
      <w:pPr>
        <w:spacing w:line="580" w:lineRule="exact"/>
        <w:ind w:firstLine="641"/>
        <w:rPr>
          <w:rFonts w:hint="default" w:ascii="Times New Roman" w:hAnsi="Times New Roman" w:cs="Times New Roman"/>
          <w:color w:val="000000"/>
        </w:rPr>
      </w:pPr>
      <w:r>
        <w:rPr>
          <w:rFonts w:hint="default" w:ascii="Times New Roman" w:hAnsi="Times New Roman" w:cs="Times New Roman"/>
          <w:b/>
          <w:bCs/>
          <w:color w:val="000000"/>
        </w:rPr>
        <w:t>公务用车运行维护费支出</w:t>
      </w:r>
      <w:r>
        <w:rPr>
          <w:rFonts w:hint="default" w:ascii="Times New Roman" w:hAnsi="Times New Roman" w:cs="Times New Roman"/>
          <w:color w:val="000000"/>
          <w:lang w:val="en-US" w:eastAsia="zh-CN"/>
        </w:rPr>
        <w:t>33.07</w:t>
      </w:r>
      <w:r>
        <w:rPr>
          <w:rFonts w:hint="default" w:ascii="Times New Roman" w:hAnsi="Times New Roman" w:cs="Times New Roman"/>
          <w:color w:val="000000"/>
        </w:rPr>
        <w:t>万元。主要用于保障市政协重要会议、重大活动、重点调研和委员履职等工作</w:t>
      </w:r>
      <w:r>
        <w:rPr>
          <w:rFonts w:hint="default" w:ascii="Times New Roman" w:hAnsi="Times New Roman" w:cs="Times New Roman"/>
          <w:color w:val="000000"/>
          <w:lang w:eastAsia="zh-CN"/>
        </w:rPr>
        <w:t>所需的公务用车</w:t>
      </w:r>
      <w:r>
        <w:rPr>
          <w:rFonts w:hint="default" w:ascii="Times New Roman" w:hAnsi="Times New Roman" w:cs="Times New Roman"/>
          <w:color w:val="000000"/>
        </w:rPr>
        <w:t>燃油、维修、过路过桥、停车和保险等支出。</w:t>
      </w:r>
    </w:p>
    <w:p>
      <w:pPr>
        <w:spacing w:line="580" w:lineRule="exact"/>
        <w:ind w:firstLine="640"/>
        <w:rPr>
          <w:rFonts w:hint="default" w:ascii="Times New Roman" w:hAnsi="Times New Roman" w:cs="Times New Roman"/>
          <w:szCs w:val="32"/>
        </w:rPr>
      </w:pPr>
      <w:bookmarkStart w:id="78" w:name="_Hlk82877140"/>
      <w:r>
        <w:rPr>
          <w:rFonts w:hint="default" w:ascii="Times New Roman" w:hAnsi="Times New Roman" w:cs="Times New Roman"/>
          <w:b/>
          <w:bCs/>
          <w:color w:val="000000"/>
          <w:lang w:val="en-US" w:eastAsia="zh-CN"/>
        </w:rPr>
        <w:t>3、</w:t>
      </w:r>
      <w:r>
        <w:rPr>
          <w:rFonts w:hint="default" w:ascii="Times New Roman" w:hAnsi="Times New Roman" w:cs="Times New Roman"/>
          <w:b/>
          <w:bCs/>
          <w:color w:val="000000"/>
        </w:rPr>
        <w:t>公务</w:t>
      </w:r>
      <w:bookmarkEnd w:id="78"/>
      <w:r>
        <w:rPr>
          <w:rFonts w:hint="default" w:ascii="Times New Roman" w:hAnsi="Times New Roman" w:cs="Times New Roman"/>
          <w:b/>
          <w:bCs/>
          <w:color w:val="000000"/>
        </w:rPr>
        <w:t>接待费支出</w:t>
      </w:r>
      <w:r>
        <w:rPr>
          <w:rFonts w:hint="default" w:ascii="Times New Roman" w:hAnsi="Times New Roman" w:cs="Times New Roman"/>
          <w:color w:val="000000"/>
          <w:lang w:val="en-US" w:eastAsia="zh-CN"/>
        </w:rPr>
        <w:t>5.18</w:t>
      </w:r>
      <w:r>
        <w:rPr>
          <w:rFonts w:hint="default" w:ascii="Times New Roman" w:hAnsi="Times New Roman" w:cs="Times New Roman"/>
          <w:color w:val="000000"/>
        </w:rPr>
        <w:t>万元</w:t>
      </w:r>
      <w:r>
        <w:rPr>
          <w:rFonts w:hint="default" w:ascii="Times New Roman" w:hAnsi="Times New Roman" w:cs="Times New Roman"/>
          <w:color w:val="000000"/>
          <w:lang w:eastAsia="zh-CN"/>
        </w:rPr>
        <w:t>，</w:t>
      </w:r>
      <w:r>
        <w:rPr>
          <w:rFonts w:hint="default" w:ascii="Times New Roman" w:hAnsi="Times New Roman" w:cs="Times New Roman"/>
          <w:szCs w:val="32"/>
        </w:rPr>
        <w:t>完成预算数74%</w:t>
      </w:r>
      <w:r>
        <w:rPr>
          <w:rStyle w:val="15"/>
          <w:rFonts w:hint="default" w:ascii="Times New Roman" w:hAnsi="Times New Roman" w:cs="Times New Roman"/>
          <w:b w:val="0"/>
          <w:bCs w:val="0"/>
          <w:color w:val="000000"/>
        </w:rPr>
        <w:t>。</w:t>
      </w:r>
      <w:r>
        <w:rPr>
          <w:rFonts w:hint="default" w:ascii="Times New Roman" w:hAnsi="Times New Roman" w:cs="Times New Roman"/>
          <w:color w:val="000000"/>
        </w:rPr>
        <w:t>公务接待费支出决算比20</w:t>
      </w:r>
      <w:r>
        <w:rPr>
          <w:rFonts w:hint="default" w:ascii="Times New Roman" w:hAnsi="Times New Roman" w:cs="Times New Roman"/>
          <w:color w:val="000000"/>
          <w:lang w:val="en-US" w:eastAsia="zh-CN"/>
        </w:rPr>
        <w:t>20</w:t>
      </w:r>
      <w:r>
        <w:rPr>
          <w:rFonts w:hint="default" w:ascii="Times New Roman" w:hAnsi="Times New Roman" w:cs="Times New Roman"/>
          <w:color w:val="000000"/>
        </w:rPr>
        <w:t>年</w:t>
      </w:r>
      <w:r>
        <w:rPr>
          <w:rFonts w:hint="default" w:ascii="Times New Roman" w:hAnsi="Times New Roman" w:cs="Times New Roman"/>
          <w:szCs w:val="32"/>
        </w:rPr>
        <w:t>减少4.83</w:t>
      </w:r>
      <w:r>
        <w:rPr>
          <w:rFonts w:hint="default" w:ascii="Times New Roman" w:hAnsi="Times New Roman" w:cs="Times New Roman"/>
          <w:color w:val="000000"/>
        </w:rPr>
        <w:t>万元，</w:t>
      </w:r>
      <w:r>
        <w:rPr>
          <w:rFonts w:hint="default" w:ascii="Times New Roman" w:hAnsi="Times New Roman" w:cs="Times New Roman"/>
          <w:szCs w:val="32"/>
        </w:rPr>
        <w:t>下降48.25 %</w:t>
      </w:r>
      <w:r>
        <w:rPr>
          <w:rFonts w:hint="default" w:ascii="Times New Roman" w:hAnsi="Times New Roman" w:cs="Times New Roman"/>
          <w:szCs w:val="32"/>
          <w:lang w:eastAsia="zh-CN"/>
        </w:rPr>
        <w:t>。</w:t>
      </w:r>
      <w:r>
        <w:rPr>
          <w:rFonts w:hint="default" w:ascii="Times New Roman" w:hAnsi="Times New Roman" w:cs="Times New Roman"/>
          <w:szCs w:val="32"/>
        </w:rPr>
        <w:t>主要原因：2020年</w:t>
      </w:r>
      <w:r>
        <w:rPr>
          <w:rFonts w:hint="default" w:ascii="Times New Roman" w:hAnsi="Times New Roman" w:cs="Times New Roman"/>
          <w:szCs w:val="32"/>
          <w:lang w:eastAsia="zh-CN"/>
        </w:rPr>
        <w:t>，时任市政协主席</w:t>
      </w:r>
      <w:r>
        <w:rPr>
          <w:rFonts w:hint="default" w:ascii="Times New Roman" w:hAnsi="Times New Roman" w:cs="Times New Roman"/>
          <w:szCs w:val="32"/>
        </w:rPr>
        <w:t>牵头</w:t>
      </w:r>
      <w:r>
        <w:rPr>
          <w:rFonts w:hint="default" w:ascii="Times New Roman" w:hAnsi="Times New Roman" w:cs="Times New Roman"/>
          <w:szCs w:val="32"/>
          <w:lang w:eastAsia="zh-CN"/>
        </w:rPr>
        <w:t>负责</w:t>
      </w:r>
      <w:r>
        <w:rPr>
          <w:rFonts w:hint="default" w:ascii="Times New Roman" w:hAnsi="Times New Roman" w:cs="Times New Roman"/>
          <w:szCs w:val="32"/>
        </w:rPr>
        <w:t>荣县双石镇乡村振兴示范镇</w:t>
      </w:r>
      <w:r>
        <w:rPr>
          <w:rFonts w:hint="default" w:ascii="Times New Roman" w:hAnsi="Times New Roman" w:cs="Times New Roman"/>
          <w:szCs w:val="32"/>
          <w:lang w:eastAsia="zh-CN"/>
        </w:rPr>
        <w:t>创建工作</w:t>
      </w:r>
      <w:r>
        <w:rPr>
          <w:rFonts w:hint="default" w:ascii="Times New Roman" w:hAnsi="Times New Roman" w:cs="Times New Roman"/>
          <w:szCs w:val="32"/>
        </w:rPr>
        <w:t>，</w:t>
      </w:r>
      <w:r>
        <w:rPr>
          <w:rFonts w:hint="default" w:ascii="Times New Roman" w:hAnsi="Times New Roman" w:eastAsia="仿宋_GB2312" w:cs="Times New Roman"/>
          <w:sz w:val="32"/>
          <w:szCs w:val="32"/>
        </w:rPr>
        <w:t>为实现“大突破”目标任务，市政协全力推进双石镇乡村振兴示范镇建设，引进了一大批企业和项目，同时也产生了大量的接待费用，</w:t>
      </w:r>
      <w:r>
        <w:rPr>
          <w:rFonts w:hint="default" w:ascii="Times New Roman" w:hAnsi="Times New Roman" w:cs="Times New Roman"/>
          <w:sz w:val="32"/>
          <w:szCs w:val="32"/>
          <w:lang w:eastAsia="zh-CN"/>
        </w:rPr>
        <w:t>在公务接待中招商引资接待占比较大。</w:t>
      </w:r>
      <w:r>
        <w:rPr>
          <w:rFonts w:hint="default" w:ascii="Times New Roman" w:hAnsi="Times New Roman" w:cs="Times New Roman"/>
          <w:szCs w:val="32"/>
        </w:rPr>
        <w:t>2021年</w:t>
      </w:r>
      <w:r>
        <w:rPr>
          <w:rFonts w:hint="default" w:ascii="Times New Roman" w:hAnsi="Times New Roman" w:cs="Times New Roman"/>
          <w:szCs w:val="32"/>
          <w:lang w:eastAsia="zh-CN"/>
        </w:rPr>
        <w:t>公务接待中</w:t>
      </w:r>
      <w:r>
        <w:rPr>
          <w:rFonts w:hint="default" w:ascii="Times New Roman" w:hAnsi="Times New Roman" w:cs="Times New Roman"/>
          <w:sz w:val="32"/>
          <w:szCs w:val="32"/>
          <w:lang w:eastAsia="zh-CN"/>
        </w:rPr>
        <w:t>招商引资接待大幅减少</w:t>
      </w:r>
      <w:r>
        <w:rPr>
          <w:rFonts w:hint="default" w:ascii="Times New Roman" w:hAnsi="Times New Roman" w:cs="Times New Roman"/>
          <w:szCs w:val="32"/>
        </w:rPr>
        <w:t>，相应减少公务接待支出。</w:t>
      </w:r>
      <w:r>
        <w:rPr>
          <w:rFonts w:hint="default" w:ascii="Times New Roman" w:hAnsi="Times New Roman" w:cs="Times New Roman"/>
          <w:color w:val="000000"/>
        </w:rPr>
        <w:t>其中：</w:t>
      </w:r>
    </w:p>
    <w:p>
      <w:pPr>
        <w:spacing w:line="580" w:lineRule="exact"/>
        <w:ind w:firstLine="709"/>
        <w:rPr>
          <w:rFonts w:hint="default" w:ascii="Times New Roman" w:hAnsi="Times New Roman" w:eastAsia="仿宋_GB2312" w:cs="Times New Roman"/>
          <w:color w:val="000000"/>
          <w:highlight w:val="yellow"/>
          <w:lang w:eastAsia="zh-CN"/>
        </w:rPr>
      </w:pPr>
      <w:r>
        <w:rPr>
          <w:rFonts w:hint="default" w:ascii="Times New Roman" w:hAnsi="Times New Roman" w:cs="Times New Roman"/>
          <w:b/>
          <w:bCs/>
          <w:color w:val="000000"/>
        </w:rPr>
        <w:t>国内公务接待支出</w:t>
      </w:r>
      <w:r>
        <w:rPr>
          <w:rFonts w:hint="default" w:ascii="Times New Roman" w:hAnsi="Times New Roman" w:cs="Times New Roman"/>
          <w:color w:val="000000"/>
          <w:lang w:val="en-US" w:eastAsia="zh-CN"/>
        </w:rPr>
        <w:t>5.18</w:t>
      </w:r>
      <w:r>
        <w:rPr>
          <w:rFonts w:hint="default" w:ascii="Times New Roman" w:hAnsi="Times New Roman" w:cs="Times New Roman"/>
          <w:color w:val="000000"/>
        </w:rPr>
        <w:t>万元，主要用于执行公务、开展业务活动开支的住宿费、用餐费等。</w:t>
      </w:r>
      <w:r>
        <w:rPr>
          <w:rFonts w:hint="default" w:ascii="Times New Roman" w:hAnsi="Times New Roman" w:cs="Times New Roman"/>
          <w:color w:val="000000"/>
          <w:lang w:eastAsia="zh-CN"/>
        </w:rPr>
        <w:t>国内公务接待</w:t>
      </w:r>
      <w:r>
        <w:rPr>
          <w:rFonts w:hint="default" w:ascii="Times New Roman" w:hAnsi="Times New Roman" w:eastAsia="仿宋_GB2312" w:cs="Times New Roman"/>
          <w:sz w:val="32"/>
          <w:szCs w:val="32"/>
        </w:rPr>
        <w:t>29批</w:t>
      </w:r>
      <w:r>
        <w:rPr>
          <w:rFonts w:hint="default" w:ascii="Times New Roman" w:hAnsi="Times New Roman" w:cs="Times New Roman"/>
          <w:sz w:val="32"/>
          <w:szCs w:val="32"/>
          <w:lang w:val="en-US" w:eastAsia="zh-CN"/>
        </w:rPr>
        <w:t>330</w:t>
      </w:r>
      <w:r>
        <w:rPr>
          <w:rFonts w:hint="default" w:ascii="Times New Roman" w:hAnsi="Times New Roman" w:eastAsia="仿宋_GB2312" w:cs="Times New Roman"/>
          <w:sz w:val="32"/>
          <w:szCs w:val="32"/>
        </w:rPr>
        <w:t>人次</w:t>
      </w:r>
      <w:r>
        <w:rPr>
          <w:rFonts w:hint="default" w:ascii="Times New Roman" w:hAnsi="Times New Roman" w:cs="Times New Roman"/>
          <w:sz w:val="32"/>
          <w:szCs w:val="32"/>
          <w:lang w:eastAsia="zh-CN"/>
        </w:rPr>
        <w:t>（不包括陪同人员），共计支出</w:t>
      </w:r>
      <w:r>
        <w:rPr>
          <w:rFonts w:hint="default" w:ascii="Times New Roman" w:hAnsi="Times New Roman" w:cs="Times New Roman"/>
          <w:sz w:val="32"/>
          <w:szCs w:val="32"/>
          <w:lang w:val="en-US" w:eastAsia="zh-CN"/>
        </w:rPr>
        <w:t>5.18万元</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2021年全年接待较2020年减少2批次，增加69人次</w:t>
      </w:r>
      <w:r>
        <w:rPr>
          <w:rFonts w:hint="default" w:ascii="Times New Roman" w:hAnsi="Times New Roman" w:eastAsia="仿宋_GB2312" w:cs="Times New Roman"/>
          <w:color w:val="000000"/>
          <w:sz w:val="32"/>
          <w:szCs w:val="32"/>
        </w:rPr>
        <w:t>。影响人均公务接待支出较高的主要原因：接待的29批次客人中，厅级以上领导占比较大，相应增加人均接待支出</w:t>
      </w:r>
      <w:r>
        <w:rPr>
          <w:rFonts w:hint="default" w:ascii="Times New Roman" w:hAnsi="Times New Roman" w:eastAsia="仿宋_GB2312" w:cs="Times New Roman"/>
          <w:sz w:val="32"/>
          <w:szCs w:val="32"/>
        </w:rPr>
        <w:t>。</w:t>
      </w:r>
    </w:p>
    <w:p>
      <w:pPr>
        <w:spacing w:line="580" w:lineRule="exact"/>
        <w:ind w:firstLine="709"/>
        <w:rPr>
          <w:rFonts w:hint="default" w:ascii="Times New Roman" w:hAnsi="Times New Roman" w:cs="Times New Roman"/>
          <w:sz w:val="32"/>
          <w:szCs w:val="32"/>
          <w:lang w:val="en-US" w:eastAsia="zh-CN"/>
        </w:rPr>
      </w:pPr>
      <w:r>
        <w:rPr>
          <w:rFonts w:hint="default" w:ascii="Times New Roman" w:hAnsi="Times New Roman" w:cs="Times New Roman"/>
          <w:sz w:val="32"/>
          <w:szCs w:val="32"/>
          <w:lang w:eastAsia="zh-CN"/>
        </w:rPr>
        <w:t>具体接待内容包括：甘肃省政协主席一行调研“彩灯产业和新能源发展情况”，产生公务接待支出</w:t>
      </w:r>
      <w:r>
        <w:rPr>
          <w:rFonts w:hint="default" w:ascii="Times New Roman" w:hAnsi="Times New Roman" w:cs="Times New Roman"/>
          <w:sz w:val="32"/>
          <w:szCs w:val="32"/>
          <w:lang w:val="en-US" w:eastAsia="zh-CN"/>
        </w:rPr>
        <w:t>0.13万元；</w:t>
      </w:r>
      <w:r>
        <w:rPr>
          <w:rFonts w:hint="default" w:ascii="Times New Roman" w:hAnsi="Times New Roman" w:cs="Times New Roman"/>
          <w:sz w:val="32"/>
          <w:szCs w:val="32"/>
          <w:lang w:eastAsia="zh-CN"/>
        </w:rPr>
        <w:t>省政协副主席一行调研“有事来协商”工作推进情况，产生公务接待支出</w:t>
      </w:r>
      <w:r>
        <w:rPr>
          <w:rFonts w:hint="default" w:ascii="Times New Roman" w:hAnsi="Times New Roman" w:cs="Times New Roman"/>
          <w:sz w:val="32"/>
          <w:szCs w:val="32"/>
          <w:lang w:val="en-US" w:eastAsia="zh-CN"/>
        </w:rPr>
        <w:t>0.2万元；攀枝花市政协副主席一行考察学习提案遴选与督办工作，产生公务接待支出0.13万；</w:t>
      </w:r>
      <w:r>
        <w:rPr>
          <w:rFonts w:hint="default" w:ascii="Times New Roman" w:hAnsi="Times New Roman" w:cs="Times New Roman"/>
          <w:sz w:val="32"/>
          <w:szCs w:val="32"/>
          <w:lang w:eastAsia="zh-CN"/>
        </w:rPr>
        <w:t>蜀南气矿副矿长一行调研页岩气</w:t>
      </w:r>
      <w:r>
        <w:rPr>
          <w:rFonts w:hint="default" w:ascii="Times New Roman" w:hAnsi="Times New Roman" w:cs="Times New Roman"/>
          <w:sz w:val="32"/>
          <w:szCs w:val="32"/>
          <w:lang w:val="en-US" w:eastAsia="zh-CN"/>
        </w:rPr>
        <w:t>开发情况</w:t>
      </w:r>
      <w:r>
        <w:rPr>
          <w:rFonts w:hint="default" w:ascii="Times New Roman" w:hAnsi="Times New Roman" w:cs="Times New Roman"/>
          <w:sz w:val="32"/>
          <w:szCs w:val="32"/>
          <w:lang w:eastAsia="zh-CN"/>
        </w:rPr>
        <w:t>，产生公务接待支出</w:t>
      </w:r>
      <w:r>
        <w:rPr>
          <w:rFonts w:hint="default" w:ascii="Times New Roman" w:hAnsi="Times New Roman" w:cs="Times New Roman"/>
          <w:sz w:val="32"/>
          <w:szCs w:val="32"/>
          <w:lang w:val="en-US" w:eastAsia="zh-CN"/>
        </w:rPr>
        <w:t>0.18万元等。</w:t>
      </w:r>
    </w:p>
    <w:p>
      <w:pPr>
        <w:spacing w:line="580" w:lineRule="exact"/>
        <w:ind w:firstLine="641"/>
        <w:rPr>
          <w:rFonts w:hint="default" w:ascii="Times New Roman" w:hAnsi="Times New Roman" w:cs="Times New Roman"/>
          <w:color w:val="000000"/>
        </w:rPr>
      </w:pPr>
      <w:r>
        <w:rPr>
          <w:rFonts w:hint="default" w:ascii="Times New Roman" w:hAnsi="Times New Roman" w:cs="Times New Roman"/>
          <w:b/>
          <w:bCs/>
          <w:color w:val="000000"/>
        </w:rPr>
        <w:t>外事接待支出</w:t>
      </w:r>
      <w:r>
        <w:rPr>
          <w:rFonts w:hint="default" w:ascii="Times New Roman" w:hAnsi="Times New Roman" w:cs="Times New Roman"/>
          <w:color w:val="000000"/>
        </w:rPr>
        <w:t>0万元。</w:t>
      </w:r>
      <w:bookmarkStart w:id="79" w:name="_Toc15396610"/>
      <w:bookmarkStart w:id="80" w:name="_Toc15377218"/>
    </w:p>
    <w:p>
      <w:pPr>
        <w:spacing w:line="580" w:lineRule="exact"/>
        <w:ind w:firstLine="640"/>
        <w:outlineLvl w:val="1"/>
        <w:rPr>
          <w:rStyle w:val="20"/>
          <w:rFonts w:hint="default" w:ascii="Times New Roman" w:hAnsi="Times New Roman" w:eastAsia="黑体" w:cs="Times New Roman"/>
          <w:b w:val="0"/>
          <w:bCs w:val="0"/>
        </w:rPr>
      </w:pPr>
      <w:bookmarkStart w:id="81" w:name="_Toc2920"/>
      <w:bookmarkStart w:id="82" w:name="_Toc13335"/>
      <w:bookmarkStart w:id="83" w:name="_Toc23786"/>
      <w:bookmarkStart w:id="84" w:name="_Toc2198"/>
      <w:r>
        <w:rPr>
          <w:rFonts w:hint="default" w:ascii="Times New Roman" w:hAnsi="Times New Roman" w:eastAsia="黑体" w:cs="Times New Roman"/>
          <w:color w:val="000000"/>
        </w:rPr>
        <w:t>八、</w:t>
      </w:r>
      <w:r>
        <w:rPr>
          <w:rStyle w:val="20"/>
          <w:rFonts w:hint="default" w:ascii="Times New Roman" w:hAnsi="Times New Roman" w:eastAsia="黑体" w:cs="Times New Roman"/>
          <w:b w:val="0"/>
          <w:bCs w:val="0"/>
        </w:rPr>
        <w:t>政府性基金预算支出决算情况说明</w:t>
      </w:r>
      <w:bookmarkEnd w:id="79"/>
      <w:bookmarkEnd w:id="80"/>
      <w:bookmarkEnd w:id="81"/>
      <w:bookmarkEnd w:id="82"/>
      <w:bookmarkEnd w:id="83"/>
      <w:bookmarkEnd w:id="84"/>
    </w:p>
    <w:p>
      <w:pPr>
        <w:spacing w:line="580" w:lineRule="exact"/>
        <w:ind w:firstLine="640"/>
        <w:rPr>
          <w:rFonts w:hint="default" w:ascii="Times New Roman" w:hAnsi="Times New Roman" w:cs="Times New Roman"/>
          <w:color w:val="000000"/>
        </w:rPr>
      </w:pPr>
      <w:r>
        <w:rPr>
          <w:rFonts w:hint="default" w:ascii="Times New Roman" w:hAnsi="Times New Roman" w:cs="Times New Roman"/>
          <w:color w:val="000000"/>
        </w:rPr>
        <w:t>202</w:t>
      </w:r>
      <w:r>
        <w:rPr>
          <w:rFonts w:hint="default" w:ascii="Times New Roman" w:hAnsi="Times New Roman" w:cs="Times New Roman"/>
          <w:color w:val="000000"/>
          <w:lang w:val="en-US" w:eastAsia="zh-CN"/>
        </w:rPr>
        <w:t>1</w:t>
      </w:r>
      <w:r>
        <w:rPr>
          <w:rFonts w:hint="default" w:ascii="Times New Roman" w:hAnsi="Times New Roman" w:cs="Times New Roman"/>
          <w:color w:val="000000"/>
        </w:rPr>
        <w:t>年政府性基金预算拨款支出0万元。</w:t>
      </w:r>
    </w:p>
    <w:p>
      <w:pPr>
        <w:numPr>
          <w:ilvl w:val="0"/>
          <w:numId w:val="1"/>
        </w:numPr>
        <w:spacing w:line="580" w:lineRule="exact"/>
        <w:ind w:firstLine="640"/>
        <w:outlineLvl w:val="1"/>
        <w:rPr>
          <w:rStyle w:val="20"/>
          <w:rFonts w:hint="default" w:ascii="Times New Roman" w:hAnsi="Times New Roman" w:eastAsia="黑体" w:cs="Times New Roman"/>
          <w:b w:val="0"/>
          <w:bCs w:val="0"/>
        </w:rPr>
      </w:pPr>
      <w:bookmarkStart w:id="85" w:name="_Toc15614"/>
      <w:bookmarkStart w:id="86" w:name="_Toc18113"/>
      <w:bookmarkStart w:id="87" w:name="_Toc18210"/>
      <w:bookmarkStart w:id="88" w:name="_Toc15396611"/>
      <w:bookmarkStart w:id="89" w:name="_Toc15377219"/>
      <w:bookmarkStart w:id="90" w:name="_Toc29029"/>
      <w:r>
        <w:rPr>
          <w:rStyle w:val="20"/>
          <w:rFonts w:hint="default" w:ascii="Times New Roman" w:hAnsi="Times New Roman" w:eastAsia="黑体" w:cs="Times New Roman"/>
          <w:b w:val="0"/>
          <w:bCs w:val="0"/>
        </w:rPr>
        <w:t>国有资本经营预算支出决算情况说明</w:t>
      </w:r>
      <w:bookmarkEnd w:id="85"/>
      <w:bookmarkEnd w:id="86"/>
      <w:bookmarkEnd w:id="87"/>
      <w:bookmarkEnd w:id="88"/>
      <w:bookmarkEnd w:id="89"/>
      <w:bookmarkEnd w:id="90"/>
    </w:p>
    <w:p>
      <w:pPr>
        <w:spacing w:line="580" w:lineRule="exact"/>
        <w:ind w:firstLine="640"/>
        <w:rPr>
          <w:rFonts w:hint="default" w:ascii="Times New Roman" w:hAnsi="Times New Roman" w:cs="Times New Roman"/>
          <w:color w:val="000000"/>
        </w:rPr>
      </w:pPr>
      <w:r>
        <w:rPr>
          <w:rFonts w:hint="default" w:ascii="Times New Roman" w:hAnsi="Times New Roman" w:cs="Times New Roman"/>
          <w:color w:val="000000"/>
        </w:rPr>
        <w:t>202</w:t>
      </w:r>
      <w:r>
        <w:rPr>
          <w:rFonts w:hint="default" w:ascii="Times New Roman" w:hAnsi="Times New Roman" w:cs="Times New Roman"/>
          <w:color w:val="000000"/>
          <w:lang w:val="en-US" w:eastAsia="zh-CN"/>
        </w:rPr>
        <w:t>1</w:t>
      </w:r>
      <w:r>
        <w:rPr>
          <w:rFonts w:hint="default" w:ascii="Times New Roman" w:hAnsi="Times New Roman" w:cs="Times New Roman"/>
          <w:color w:val="000000"/>
        </w:rPr>
        <w:t>年国有资本经营预算拨款支出0万元。</w:t>
      </w:r>
    </w:p>
    <w:p>
      <w:pPr>
        <w:spacing w:line="580" w:lineRule="exact"/>
        <w:ind w:firstLine="800" w:firstLineChars="250"/>
        <w:outlineLvl w:val="1"/>
        <w:rPr>
          <w:rStyle w:val="20"/>
          <w:rFonts w:hint="default" w:ascii="Times New Roman" w:hAnsi="Times New Roman" w:eastAsia="黑体" w:cs="Times New Roman"/>
          <w:b w:val="0"/>
          <w:bCs w:val="0"/>
          <w:highlight w:val="none"/>
        </w:rPr>
      </w:pPr>
      <w:bookmarkStart w:id="91" w:name="_Toc15396612"/>
      <w:bookmarkStart w:id="92" w:name="_Toc18062"/>
      <w:bookmarkStart w:id="93" w:name="_Toc7341"/>
      <w:bookmarkStart w:id="94" w:name="_Toc14893"/>
      <w:bookmarkStart w:id="95" w:name="_Toc11287"/>
      <w:bookmarkStart w:id="96" w:name="_Toc15377221"/>
      <w:r>
        <w:rPr>
          <w:rFonts w:hint="default" w:ascii="Times New Roman" w:hAnsi="Times New Roman" w:eastAsia="黑体" w:cs="Times New Roman"/>
          <w:color w:val="000000"/>
          <w:highlight w:val="none"/>
        </w:rPr>
        <w:t>十</w:t>
      </w:r>
      <w:r>
        <w:rPr>
          <w:rStyle w:val="20"/>
          <w:rFonts w:hint="default" w:ascii="Times New Roman" w:hAnsi="Times New Roman" w:eastAsia="黑体" w:cs="Times New Roman"/>
          <w:b w:val="0"/>
          <w:bCs w:val="0"/>
          <w:highlight w:val="none"/>
        </w:rPr>
        <w:t>、其他重要事项的情况说明</w:t>
      </w:r>
      <w:bookmarkEnd w:id="91"/>
      <w:bookmarkEnd w:id="92"/>
      <w:bookmarkEnd w:id="93"/>
      <w:bookmarkEnd w:id="94"/>
      <w:bookmarkEnd w:id="95"/>
      <w:bookmarkEnd w:id="96"/>
    </w:p>
    <w:p>
      <w:pPr>
        <w:spacing w:line="580" w:lineRule="exact"/>
        <w:ind w:firstLine="643" w:firstLineChars="200"/>
        <w:outlineLvl w:val="2"/>
        <w:rPr>
          <w:rFonts w:hint="default" w:ascii="Times New Roman" w:hAnsi="Times New Roman" w:eastAsia="楷体" w:cs="Times New Roman"/>
          <w:b/>
          <w:bCs/>
          <w:color w:val="000000"/>
        </w:rPr>
      </w:pPr>
      <w:bookmarkStart w:id="97" w:name="_Toc15377222"/>
      <w:r>
        <w:rPr>
          <w:rFonts w:hint="default" w:ascii="Times New Roman" w:hAnsi="Times New Roman" w:eastAsia="楷体" w:cs="Times New Roman"/>
          <w:b/>
          <w:bCs/>
          <w:color w:val="000000"/>
        </w:rPr>
        <w:t>（一）机关运行经费支出情况</w:t>
      </w:r>
      <w:bookmarkEnd w:id="97"/>
    </w:p>
    <w:p>
      <w:pPr>
        <w:spacing w:line="560" w:lineRule="exact"/>
        <w:ind w:firstLine="709"/>
        <w:rPr>
          <w:rFonts w:hint="default" w:ascii="Times New Roman" w:hAnsi="Times New Roman" w:cs="Times New Roman"/>
          <w:color w:val="000000"/>
          <w:szCs w:val="32"/>
        </w:rPr>
      </w:pPr>
      <w:bookmarkStart w:id="98" w:name="_Toc15377223"/>
      <w:r>
        <w:rPr>
          <w:rFonts w:hint="default" w:ascii="Times New Roman" w:hAnsi="Times New Roman" w:cs="Times New Roman"/>
          <w:color w:val="000000"/>
          <w:lang w:val="en-US" w:eastAsia="zh-CN"/>
        </w:rPr>
        <w:t>2</w:t>
      </w:r>
      <w:r>
        <w:rPr>
          <w:rFonts w:hint="default" w:ascii="Times New Roman" w:hAnsi="Times New Roman" w:cs="Times New Roman"/>
          <w:color w:val="000000"/>
        </w:rPr>
        <w:t>021年，市政协办公室运行经费支出</w:t>
      </w:r>
      <w:r>
        <w:rPr>
          <w:rFonts w:hint="default" w:ascii="Times New Roman" w:hAnsi="Times New Roman" w:cs="Times New Roman"/>
          <w:szCs w:val="32"/>
        </w:rPr>
        <w:t>401.91万元，较上年279.53万元增加122.38万元，增长43.78%。</w:t>
      </w:r>
      <w:r>
        <w:rPr>
          <w:rFonts w:hint="default" w:ascii="Times New Roman" w:hAnsi="Times New Roman" w:cs="Times New Roman"/>
          <w:color w:val="000000"/>
        </w:rPr>
        <w:t>主要原因：</w:t>
      </w:r>
      <w:r>
        <w:rPr>
          <w:rFonts w:hint="default" w:ascii="Times New Roman" w:hAnsi="Times New Roman" w:cs="Times New Roman"/>
          <w:color w:val="000000"/>
          <w:szCs w:val="32"/>
        </w:rPr>
        <w:t>2021年，由于部门预算编制口径的调整，将具有公用支出性质的项目支出</w:t>
      </w:r>
      <w:r>
        <w:rPr>
          <w:rFonts w:hint="default" w:ascii="Times New Roman" w:hAnsi="Times New Roman" w:eastAsia="仿宋_GB2312" w:cs="Times New Roman"/>
          <w:color w:val="000000"/>
          <w:sz w:val="32"/>
          <w:szCs w:val="32"/>
        </w:rPr>
        <w:t>按照</w:t>
      </w:r>
      <w:r>
        <w:rPr>
          <w:rFonts w:hint="default" w:ascii="Times New Roman" w:hAnsi="Times New Roman" w:eastAsia="仿宋_GB2312" w:cs="Times New Roman"/>
          <w:color w:val="000000"/>
          <w:sz w:val="32"/>
          <w:szCs w:val="32"/>
          <w:lang w:eastAsia="zh-CN"/>
        </w:rPr>
        <w:t>不超过核定部门预算专项经费控制额度的</w:t>
      </w:r>
      <w:r>
        <w:rPr>
          <w:rFonts w:hint="default" w:ascii="Times New Roman" w:hAnsi="Times New Roman" w:eastAsia="仿宋_GB2312" w:cs="Times New Roman"/>
          <w:color w:val="000000"/>
          <w:sz w:val="32"/>
          <w:szCs w:val="32"/>
          <w:lang w:val="en-US" w:eastAsia="zh-CN"/>
        </w:rPr>
        <w:t>25%（即95万元）</w:t>
      </w:r>
      <w:r>
        <w:rPr>
          <w:rFonts w:hint="default" w:ascii="Times New Roman" w:hAnsi="Times New Roman" w:eastAsia="仿宋_GB2312" w:cs="Times New Roman"/>
          <w:color w:val="000000"/>
          <w:sz w:val="32"/>
          <w:szCs w:val="32"/>
        </w:rPr>
        <w:t>编列计入</w:t>
      </w:r>
      <w:r>
        <w:rPr>
          <w:rFonts w:hint="default" w:ascii="Times New Roman" w:hAnsi="Times New Roman" w:eastAsia="仿宋_GB2312" w:cs="Times New Roman"/>
          <w:color w:val="000000"/>
          <w:sz w:val="32"/>
          <w:szCs w:val="32"/>
          <w:lang w:eastAsia="zh-CN"/>
        </w:rPr>
        <w:t>公用支出</w:t>
      </w:r>
      <w:r>
        <w:rPr>
          <w:rFonts w:hint="default" w:ascii="Times New Roman" w:hAnsi="Times New Roman" w:eastAsia="仿宋_GB2312" w:cs="Times New Roman"/>
          <w:color w:val="000000"/>
          <w:sz w:val="32"/>
          <w:szCs w:val="32"/>
        </w:rPr>
        <w:t>，相应增加机关运行经费。</w:t>
      </w:r>
    </w:p>
    <w:p>
      <w:pPr>
        <w:autoSpaceDE w:val="0"/>
        <w:autoSpaceDN w:val="0"/>
        <w:adjustRightInd w:val="0"/>
        <w:spacing w:line="580" w:lineRule="exact"/>
        <w:ind w:firstLine="643" w:firstLineChars="200"/>
        <w:jc w:val="left"/>
        <w:outlineLvl w:val="2"/>
        <w:rPr>
          <w:rFonts w:hint="default" w:ascii="Times New Roman" w:hAnsi="Times New Roman" w:eastAsia="楷体" w:cs="Times New Roman"/>
          <w:b/>
          <w:bCs/>
          <w:color w:val="000000"/>
        </w:rPr>
      </w:pPr>
      <w:r>
        <w:rPr>
          <w:rFonts w:hint="default" w:ascii="Times New Roman" w:hAnsi="Times New Roman" w:eastAsia="楷体" w:cs="Times New Roman"/>
          <w:b/>
          <w:bCs/>
          <w:color w:val="000000"/>
        </w:rPr>
        <w:t>（二）政府采购支出情况</w:t>
      </w:r>
      <w:bookmarkEnd w:id="98"/>
    </w:p>
    <w:p>
      <w:pPr>
        <w:spacing w:line="580" w:lineRule="exact"/>
        <w:ind w:firstLine="640" w:firstLineChars="200"/>
        <w:rPr>
          <w:rFonts w:hint="default" w:ascii="Times New Roman" w:hAnsi="Times New Roman" w:cs="Times New Roman"/>
          <w:color w:val="000000"/>
          <w:highlight w:val="yellow"/>
        </w:rPr>
      </w:pPr>
      <w:r>
        <w:rPr>
          <w:rFonts w:hint="default" w:ascii="Times New Roman" w:hAnsi="Times New Roman" w:cs="Times New Roman"/>
          <w:color w:val="000000"/>
          <w:highlight w:val="none"/>
        </w:rPr>
        <w:t>202</w:t>
      </w:r>
      <w:r>
        <w:rPr>
          <w:rFonts w:hint="default" w:ascii="Times New Roman" w:hAnsi="Times New Roman" w:cs="Times New Roman"/>
          <w:color w:val="000000"/>
          <w:highlight w:val="none"/>
          <w:lang w:val="en-US" w:eastAsia="zh-CN"/>
        </w:rPr>
        <w:t>1</w:t>
      </w:r>
      <w:r>
        <w:rPr>
          <w:rFonts w:hint="default" w:ascii="Times New Roman" w:hAnsi="Times New Roman" w:cs="Times New Roman"/>
          <w:color w:val="000000"/>
          <w:highlight w:val="none"/>
        </w:rPr>
        <w:t>年，自贡市政协办公室政府采购</w:t>
      </w:r>
      <w:r>
        <w:rPr>
          <w:rFonts w:hint="default" w:ascii="Times New Roman" w:hAnsi="Times New Roman" w:eastAsia="仿宋_GB2312" w:cs="Times New Roman"/>
          <w:sz w:val="32"/>
          <w:szCs w:val="32"/>
        </w:rPr>
        <w:t>共计31批次70.26万元</w:t>
      </w:r>
      <w:r>
        <w:rPr>
          <w:rFonts w:hint="default" w:ascii="Times New Roman" w:hAnsi="Times New Roman" w:cs="Times New Roman"/>
          <w:color w:val="000000"/>
          <w:highlight w:val="none"/>
        </w:rPr>
        <w:t>，</w:t>
      </w:r>
      <w:r>
        <w:rPr>
          <w:rFonts w:hint="default" w:ascii="Times New Roman" w:hAnsi="Times New Roman" w:eastAsia="仿宋_GB2312" w:cs="Times New Roman"/>
          <w:sz w:val="32"/>
          <w:szCs w:val="32"/>
        </w:rPr>
        <w:t>其中</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保险4批次2.03万元，纸张采购1批次1.95万元，设备购置10批次45.81万元，公务用车维修15批次10.52万元，公务用车加油1批次9.95万元。</w:t>
      </w:r>
      <w:r>
        <w:rPr>
          <w:rFonts w:hint="default" w:ascii="Times New Roman" w:hAnsi="Times New Roman" w:cs="Times New Roman"/>
          <w:sz w:val="32"/>
          <w:szCs w:val="32"/>
          <w:lang w:eastAsia="zh-CN"/>
        </w:rPr>
        <w:t>主要用于保障机关公务用车运行，更替机关办公设施设备等。</w:t>
      </w:r>
      <w:r>
        <w:rPr>
          <w:rFonts w:hint="default" w:ascii="Times New Roman" w:hAnsi="Times New Roman" w:cs="Times New Roman"/>
          <w:color w:val="000000"/>
        </w:rPr>
        <w:t>授予中小企业合同金额</w:t>
      </w:r>
      <w:r>
        <w:rPr>
          <w:rFonts w:hint="default" w:ascii="Times New Roman" w:hAnsi="Times New Roman" w:cs="Times New Roman"/>
          <w:color w:val="000000"/>
          <w:lang w:val="en-US" w:eastAsia="zh-CN"/>
        </w:rPr>
        <w:t>34.94</w:t>
      </w:r>
      <w:r>
        <w:rPr>
          <w:rFonts w:hint="default" w:ascii="Times New Roman" w:hAnsi="Times New Roman" w:cs="Times New Roman"/>
          <w:color w:val="000000"/>
        </w:rPr>
        <w:t>万元，占政府采购支出总额的</w:t>
      </w:r>
      <w:r>
        <w:rPr>
          <w:rFonts w:hint="default" w:ascii="Times New Roman" w:hAnsi="Times New Roman" w:cs="Times New Roman"/>
          <w:color w:val="000000"/>
          <w:lang w:val="en-US" w:eastAsia="zh-CN"/>
        </w:rPr>
        <w:t>49.73</w:t>
      </w:r>
      <w:r>
        <w:rPr>
          <w:rFonts w:hint="default" w:ascii="Times New Roman" w:hAnsi="Times New Roman" w:cs="Times New Roman"/>
          <w:color w:val="000000"/>
        </w:rPr>
        <w:t>%，其中：授予小微企业合同金额</w:t>
      </w:r>
      <w:r>
        <w:rPr>
          <w:rFonts w:hint="default" w:ascii="Times New Roman" w:hAnsi="Times New Roman" w:cs="Times New Roman"/>
          <w:color w:val="000000"/>
          <w:lang w:val="en-US" w:eastAsia="zh-CN"/>
        </w:rPr>
        <w:t>31.91</w:t>
      </w:r>
      <w:r>
        <w:rPr>
          <w:rFonts w:hint="default" w:ascii="Times New Roman" w:hAnsi="Times New Roman" w:cs="Times New Roman"/>
          <w:color w:val="000000"/>
        </w:rPr>
        <w:t>万元，占政府采购支出总额的</w:t>
      </w:r>
      <w:r>
        <w:rPr>
          <w:rFonts w:hint="default" w:ascii="Times New Roman" w:hAnsi="Times New Roman" w:cs="Times New Roman"/>
          <w:color w:val="000000"/>
          <w:lang w:val="en-US" w:eastAsia="zh-CN"/>
        </w:rPr>
        <w:t>45.42</w:t>
      </w:r>
      <w:r>
        <w:rPr>
          <w:rFonts w:hint="default" w:ascii="Times New Roman" w:hAnsi="Times New Roman" w:cs="Times New Roman"/>
          <w:color w:val="000000"/>
        </w:rPr>
        <w:t>%。</w:t>
      </w:r>
    </w:p>
    <w:p>
      <w:pPr>
        <w:autoSpaceDE w:val="0"/>
        <w:autoSpaceDN w:val="0"/>
        <w:adjustRightInd w:val="0"/>
        <w:spacing w:line="580" w:lineRule="exact"/>
        <w:ind w:firstLine="643" w:firstLineChars="200"/>
        <w:jc w:val="left"/>
        <w:outlineLvl w:val="2"/>
        <w:rPr>
          <w:rFonts w:hint="default" w:ascii="Times New Roman" w:hAnsi="Times New Roman" w:eastAsia="楷体" w:cs="Times New Roman"/>
          <w:b/>
          <w:bCs/>
          <w:color w:val="000000"/>
        </w:rPr>
      </w:pPr>
      <w:bookmarkStart w:id="99" w:name="_Toc15377224"/>
      <w:r>
        <w:rPr>
          <w:rFonts w:hint="default" w:ascii="Times New Roman" w:hAnsi="Times New Roman" w:eastAsia="楷体" w:cs="Times New Roman"/>
          <w:b/>
          <w:bCs/>
          <w:color w:val="000000"/>
        </w:rPr>
        <w:t>（三）国有资产占有使用情况</w:t>
      </w:r>
      <w:bookmarkEnd w:id="99"/>
    </w:p>
    <w:p>
      <w:pPr>
        <w:autoSpaceDE w:val="0"/>
        <w:autoSpaceDN w:val="0"/>
        <w:adjustRightInd w:val="0"/>
        <w:spacing w:line="580" w:lineRule="exact"/>
        <w:ind w:firstLine="640" w:firstLineChars="200"/>
        <w:jc w:val="left"/>
        <w:rPr>
          <w:rFonts w:hint="default" w:ascii="Times New Roman" w:hAnsi="Times New Roman" w:cs="Times New Roman"/>
          <w:color w:val="FF0000"/>
        </w:rPr>
      </w:pPr>
      <w:r>
        <w:rPr>
          <w:rFonts w:hint="default" w:ascii="Times New Roman" w:hAnsi="Times New Roman" w:cs="Times New Roman"/>
          <w:color w:val="000000"/>
        </w:rPr>
        <w:t>截至202</w:t>
      </w:r>
      <w:r>
        <w:rPr>
          <w:rFonts w:hint="default" w:ascii="Times New Roman" w:hAnsi="Times New Roman" w:cs="Times New Roman"/>
          <w:color w:val="000000"/>
          <w:lang w:val="en-US" w:eastAsia="zh-CN"/>
        </w:rPr>
        <w:t>1</w:t>
      </w:r>
      <w:r>
        <w:rPr>
          <w:rFonts w:hint="default" w:ascii="Times New Roman" w:hAnsi="Times New Roman" w:cs="Times New Roman"/>
          <w:color w:val="000000"/>
        </w:rPr>
        <w:t>年12月31日，自贡市政协办公室共有车辆7辆，其中：主要领导干部用车0辆、机要通信用车0辆、应急保障用车7辆、其他用车0辆。单价50万元以上通用设备0台（套），单价100万元以上专用设备0台（套）。</w:t>
      </w:r>
    </w:p>
    <w:p>
      <w:pPr>
        <w:autoSpaceDE w:val="0"/>
        <w:autoSpaceDN w:val="0"/>
        <w:adjustRightInd w:val="0"/>
        <w:spacing w:line="580" w:lineRule="exact"/>
        <w:ind w:firstLine="643" w:firstLineChars="200"/>
        <w:jc w:val="left"/>
        <w:outlineLvl w:val="2"/>
        <w:rPr>
          <w:rFonts w:hint="default" w:ascii="Times New Roman" w:hAnsi="Times New Roman" w:eastAsia="楷体" w:cs="Times New Roman"/>
          <w:b/>
          <w:bCs/>
          <w:color w:val="000000"/>
        </w:rPr>
      </w:pPr>
      <w:r>
        <w:rPr>
          <w:rFonts w:hint="default" w:ascii="Times New Roman" w:hAnsi="Times New Roman" w:eastAsia="楷体" w:cs="Times New Roman"/>
          <w:b/>
          <w:bCs/>
          <w:color w:val="000000"/>
        </w:rPr>
        <w:t>（四）预算绩效管理情况</w:t>
      </w:r>
    </w:p>
    <w:p>
      <w:pPr>
        <w:spacing w:line="580" w:lineRule="exact"/>
        <w:ind w:firstLine="640" w:firstLineChars="200"/>
        <w:rPr>
          <w:rFonts w:hint="default" w:ascii="Times New Roman" w:hAnsi="Times New Roman" w:cs="Times New Roman"/>
          <w:szCs w:val="32"/>
        </w:rPr>
      </w:pPr>
      <w:r>
        <w:rPr>
          <w:rFonts w:hint="default" w:ascii="Times New Roman" w:hAnsi="Times New Roman" w:cs="Times New Roman"/>
        </w:rPr>
        <w:t>根据预算绩效管理要求，自贡市政协办公室在年初预算编制阶段，组织对“市政协调研、视察专项经费”“市政协机关履职工作经费”</w:t>
      </w:r>
      <w:r>
        <w:rPr>
          <w:rFonts w:hint="default" w:ascii="Times New Roman" w:hAnsi="Times New Roman" w:cs="Times New Roman"/>
          <w:lang w:eastAsia="zh-CN"/>
        </w:rPr>
        <w:t>等</w:t>
      </w:r>
      <w:r>
        <w:rPr>
          <w:rFonts w:hint="default" w:ascii="Times New Roman" w:hAnsi="Times New Roman" w:cs="Times New Roman"/>
          <w:lang w:val="en-US" w:eastAsia="zh-CN"/>
        </w:rPr>
        <w:t>9</w:t>
      </w:r>
      <w:r>
        <w:rPr>
          <w:rFonts w:hint="default" w:ascii="Times New Roman" w:hAnsi="Times New Roman" w:cs="Times New Roman"/>
        </w:rPr>
        <w:t>个项目开展了预算事前绩效评估，编制了绩效目标</w:t>
      </w:r>
      <w:r>
        <w:rPr>
          <w:rFonts w:hint="default" w:ascii="Times New Roman" w:hAnsi="Times New Roman" w:cs="Times New Roman"/>
          <w:lang w:eastAsia="zh-CN"/>
        </w:rPr>
        <w:t>。</w:t>
      </w:r>
      <w:r>
        <w:rPr>
          <w:rFonts w:hint="default" w:ascii="Times New Roman" w:hAnsi="Times New Roman" w:cs="Times New Roman"/>
        </w:rPr>
        <w:t>预算执行过程中，选取5个项目开展绩效监控，年终执行完毕后，对5个项目开展了绩效目标完成情况自评</w:t>
      </w:r>
      <w:r>
        <w:rPr>
          <w:rFonts w:hint="default" w:ascii="Times New Roman" w:hAnsi="Times New Roman" w:cs="Times New Roman"/>
          <w:lang w:eastAsia="zh-CN"/>
        </w:rPr>
        <w:t>，</w:t>
      </w:r>
      <w:r>
        <w:rPr>
          <w:rFonts w:hint="default" w:ascii="Times New Roman" w:hAnsi="Times New Roman" w:cs="Times New Roman"/>
          <w:szCs w:val="32"/>
        </w:rPr>
        <w:t>同时对2021年部门整体开展绩效自评，</w:t>
      </w:r>
      <w:r>
        <w:rPr>
          <w:rFonts w:hint="default" w:ascii="Times New Roman" w:hAnsi="Times New Roman" w:cs="Times New Roman"/>
          <w:szCs w:val="32"/>
          <w:lang w:eastAsia="zh-CN"/>
        </w:rPr>
        <w:t>《自贡市政协办公室项目支出绩效</w:t>
      </w:r>
      <w:r>
        <w:rPr>
          <w:rFonts w:hint="default" w:ascii="Times New Roman" w:hAnsi="Times New Roman" w:cs="Times New Roman"/>
          <w:szCs w:val="32"/>
        </w:rPr>
        <w:t>自评表</w:t>
      </w:r>
      <w:r>
        <w:rPr>
          <w:rFonts w:hint="default" w:ascii="Times New Roman" w:hAnsi="Times New Roman" w:cs="Times New Roman"/>
          <w:szCs w:val="32"/>
          <w:lang w:eastAsia="zh-CN"/>
        </w:rPr>
        <w:t>》《自贡市政协办公室</w:t>
      </w:r>
      <w:r>
        <w:rPr>
          <w:rFonts w:hint="default" w:ascii="Times New Roman" w:hAnsi="Times New Roman" w:cs="Times New Roman"/>
          <w:szCs w:val="32"/>
          <w:lang w:val="en-US" w:eastAsia="zh-CN"/>
        </w:rPr>
        <w:t>2021年</w:t>
      </w:r>
      <w:r>
        <w:rPr>
          <w:rFonts w:hint="default" w:ascii="Times New Roman" w:hAnsi="Times New Roman" w:cs="Times New Roman"/>
          <w:szCs w:val="32"/>
        </w:rPr>
        <w:t>部门整体</w:t>
      </w:r>
      <w:r>
        <w:rPr>
          <w:rFonts w:hint="default" w:ascii="Times New Roman" w:hAnsi="Times New Roman" w:cs="Times New Roman"/>
          <w:szCs w:val="32"/>
          <w:lang w:eastAsia="zh-CN"/>
        </w:rPr>
        <w:t>支出</w:t>
      </w:r>
      <w:r>
        <w:rPr>
          <w:rFonts w:hint="default" w:ascii="Times New Roman" w:hAnsi="Times New Roman" w:cs="Times New Roman"/>
          <w:szCs w:val="32"/>
        </w:rPr>
        <w:t>绩效评价报告</w:t>
      </w:r>
      <w:r>
        <w:rPr>
          <w:rFonts w:hint="default" w:ascii="Times New Roman" w:hAnsi="Times New Roman" w:cs="Times New Roman"/>
          <w:szCs w:val="32"/>
          <w:lang w:eastAsia="zh-CN"/>
        </w:rPr>
        <w:t>》</w:t>
      </w:r>
      <w:r>
        <w:rPr>
          <w:rFonts w:hint="default" w:ascii="Times New Roman" w:hAnsi="Times New Roman" w:cs="Times New Roman"/>
          <w:szCs w:val="32"/>
        </w:rPr>
        <w:t>见附件（第四部分）。</w:t>
      </w:r>
    </w:p>
    <w:p>
      <w:pPr>
        <w:pStyle w:val="11"/>
        <w:outlineLvl w:val="9"/>
        <w:rPr>
          <w:rFonts w:hint="default" w:ascii="Times New Roman" w:hAnsi="Times New Roman" w:cs="Times New Roman"/>
          <w:szCs w:val="32"/>
        </w:rPr>
      </w:pPr>
    </w:p>
    <w:p>
      <w:pPr>
        <w:rPr>
          <w:rFonts w:hint="default" w:ascii="Times New Roman" w:hAnsi="Times New Roman" w:cs="Times New Roman"/>
          <w:szCs w:val="32"/>
        </w:rPr>
      </w:pPr>
    </w:p>
    <w:p>
      <w:pPr>
        <w:pStyle w:val="11"/>
        <w:outlineLvl w:val="9"/>
        <w:rPr>
          <w:rFonts w:hint="default" w:ascii="Times New Roman" w:hAnsi="Times New Roman" w:cs="Times New Roman"/>
          <w:szCs w:val="32"/>
        </w:rPr>
      </w:pPr>
    </w:p>
    <w:p>
      <w:pPr>
        <w:rPr>
          <w:rFonts w:hint="default" w:ascii="Times New Roman" w:hAnsi="Times New Roman" w:cs="Times New Roman"/>
          <w:szCs w:val="32"/>
        </w:rPr>
      </w:pPr>
    </w:p>
    <w:p>
      <w:pPr>
        <w:pStyle w:val="11"/>
        <w:outlineLvl w:val="9"/>
        <w:rPr>
          <w:rFonts w:hint="default" w:ascii="Times New Roman" w:hAnsi="Times New Roman" w:cs="Times New Roman"/>
        </w:rPr>
      </w:pPr>
    </w:p>
    <w:p>
      <w:pPr>
        <w:pStyle w:val="12"/>
        <w:rPr>
          <w:rFonts w:hint="default" w:ascii="Times New Roman" w:hAnsi="Times New Roman" w:cs="Times New Roman"/>
        </w:rPr>
      </w:pPr>
    </w:p>
    <w:p>
      <w:pPr>
        <w:numPr>
          <w:ilvl w:val="0"/>
          <w:numId w:val="2"/>
        </w:numPr>
        <w:spacing w:line="580" w:lineRule="exact"/>
        <w:ind w:firstLine="660" w:firstLineChars="150"/>
        <w:jc w:val="center"/>
        <w:outlineLvl w:val="0"/>
        <w:rPr>
          <w:rStyle w:val="19"/>
          <w:rFonts w:hint="default" w:ascii="Times New Roman" w:hAnsi="Times New Roman" w:eastAsia="黑体" w:cs="Times New Roman"/>
          <w:b w:val="0"/>
          <w:bCs w:val="0"/>
        </w:rPr>
      </w:pPr>
      <w:bookmarkStart w:id="100" w:name="_Toc15377225"/>
      <w:bookmarkStart w:id="101" w:name="_Toc6236"/>
      <w:bookmarkStart w:id="102" w:name="_Toc28508"/>
      <w:bookmarkStart w:id="103" w:name="_Toc18582"/>
      <w:bookmarkStart w:id="104" w:name="_Toc15396613"/>
      <w:bookmarkStart w:id="105" w:name="_Toc28954"/>
      <w:r>
        <w:rPr>
          <w:rFonts w:hint="default" w:ascii="Times New Roman" w:hAnsi="Times New Roman" w:eastAsia="黑体" w:cs="Times New Roman"/>
          <w:color w:val="000000"/>
          <w:sz w:val="44"/>
          <w:szCs w:val="44"/>
        </w:rPr>
        <w:t>名</w:t>
      </w:r>
      <w:r>
        <w:rPr>
          <w:rStyle w:val="19"/>
          <w:rFonts w:hint="default" w:ascii="Times New Roman" w:hAnsi="Times New Roman" w:eastAsia="黑体" w:cs="Times New Roman"/>
          <w:b w:val="0"/>
          <w:bCs w:val="0"/>
        </w:rPr>
        <w:t>词解释</w:t>
      </w:r>
      <w:bookmarkEnd w:id="100"/>
      <w:bookmarkEnd w:id="101"/>
      <w:bookmarkEnd w:id="102"/>
      <w:bookmarkEnd w:id="103"/>
      <w:bookmarkEnd w:id="104"/>
      <w:bookmarkEnd w:id="105"/>
    </w:p>
    <w:p>
      <w:pPr>
        <w:spacing w:line="580" w:lineRule="exact"/>
        <w:jc w:val="left"/>
        <w:rPr>
          <w:rFonts w:hint="default" w:ascii="Times New Roman" w:hAnsi="Times New Roman" w:cs="Times New Roman"/>
          <w:color w:val="000000"/>
          <w:sz w:val="44"/>
          <w:szCs w:val="44"/>
        </w:rPr>
      </w:pPr>
    </w:p>
    <w:p>
      <w:pPr>
        <w:pStyle w:val="25"/>
        <w:numPr>
          <w:ilvl w:val="0"/>
          <w:numId w:val="0"/>
        </w:numPr>
        <w:spacing w:line="580" w:lineRule="exact"/>
        <w:ind w:firstLine="640" w:firstLineChars="200"/>
        <w:rPr>
          <w:rFonts w:hint="default" w:ascii="Times New Roman" w:hAnsi="Times New Roman" w:eastAsia="仿宋_GB2312" w:cs="Times New Roman"/>
          <w:sz w:val="32"/>
          <w:szCs w:val="32"/>
          <w:lang w:eastAsia="zh-CN"/>
        </w:rPr>
      </w:pPr>
      <w:bookmarkStart w:id="106" w:name="_Toc16232"/>
      <w:bookmarkStart w:id="107" w:name="_Toc14662"/>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财政拨款收入：指单位从同级财政部门取得的财政预算资金。</w:t>
      </w:r>
      <w:bookmarkEnd w:id="106"/>
      <w:bookmarkEnd w:id="107"/>
    </w:p>
    <w:p>
      <w:pPr>
        <w:pStyle w:val="25"/>
        <w:numPr>
          <w:ilvl w:val="0"/>
          <w:numId w:val="0"/>
        </w:num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其他收入：主要指</w:t>
      </w:r>
      <w:r>
        <w:rPr>
          <w:rFonts w:hint="default" w:ascii="Times New Roman" w:hAnsi="Times New Roman" w:eastAsia="仿宋_GB2312" w:cs="Times New Roman"/>
          <w:color w:val="000000"/>
          <w:sz w:val="32"/>
          <w:szCs w:val="32"/>
        </w:rPr>
        <w:t>省政协拨</w:t>
      </w:r>
      <w:r>
        <w:rPr>
          <w:rFonts w:hint="default" w:ascii="Times New Roman" w:hAnsi="Times New Roman" w:eastAsia="仿宋_GB2312" w:cs="Times New Roman"/>
          <w:color w:val="000000"/>
          <w:sz w:val="32"/>
          <w:szCs w:val="32"/>
          <w:lang w:eastAsia="zh-CN"/>
        </w:rPr>
        <w:t>市政协办公室“</w:t>
      </w:r>
      <w:r>
        <w:rPr>
          <w:rFonts w:hint="default" w:ascii="Times New Roman" w:hAnsi="Times New Roman" w:eastAsia="仿宋_GB2312" w:cs="Times New Roman"/>
          <w:color w:val="000000"/>
          <w:sz w:val="32"/>
          <w:szCs w:val="32"/>
        </w:rPr>
        <w:t>省政协委员视察款</w:t>
      </w:r>
      <w:r>
        <w:rPr>
          <w:rFonts w:hint="default" w:ascii="Times New Roman" w:hAnsi="Times New Roman" w:eastAsia="仿宋_GB2312" w:cs="Times New Roman"/>
          <w:color w:val="000000"/>
          <w:sz w:val="32"/>
          <w:szCs w:val="32"/>
          <w:lang w:eastAsia="zh-CN"/>
        </w:rPr>
        <w:t>”。</w:t>
      </w:r>
    </w:p>
    <w:p>
      <w:pPr>
        <w:spacing w:line="580" w:lineRule="exact"/>
        <w:ind w:firstLine="640" w:firstLineChars="200"/>
        <w:rPr>
          <w:rFonts w:hint="default" w:ascii="Times New Roman" w:hAnsi="Times New Roman" w:cs="Times New Roman"/>
          <w:color w:val="000000"/>
        </w:rPr>
      </w:pPr>
      <w:r>
        <w:rPr>
          <w:rFonts w:hint="default" w:ascii="Times New Roman" w:hAnsi="Times New Roman" w:cs="Times New Roman"/>
          <w:color w:val="000000"/>
          <w:lang w:val="en-US" w:eastAsia="zh-CN"/>
        </w:rPr>
        <w:t>3、</w:t>
      </w:r>
      <w:r>
        <w:rPr>
          <w:rFonts w:hint="default" w:ascii="Times New Roman" w:hAnsi="Times New Roman" w:cs="Times New Roman"/>
          <w:color w:val="000000"/>
        </w:rPr>
        <w:t>一般公共服务（类）政协事务（款）行政运行（项）：指自贡市政协办公室用于保障机构正常运行、开展日常工作的基本支出。</w:t>
      </w:r>
    </w:p>
    <w:p>
      <w:pPr>
        <w:spacing w:line="580" w:lineRule="exact"/>
        <w:ind w:firstLine="640" w:firstLineChars="200"/>
        <w:rPr>
          <w:rFonts w:hint="default" w:ascii="Times New Roman" w:hAnsi="Times New Roman" w:cs="Times New Roman"/>
          <w:color w:val="000000"/>
        </w:rPr>
      </w:pPr>
      <w:r>
        <w:rPr>
          <w:rFonts w:hint="default" w:ascii="Times New Roman" w:hAnsi="Times New Roman" w:cs="Times New Roman"/>
          <w:color w:val="000000"/>
          <w:lang w:val="en-US" w:eastAsia="zh-CN"/>
        </w:rPr>
        <w:t>4、</w:t>
      </w:r>
      <w:r>
        <w:rPr>
          <w:rFonts w:hint="default" w:ascii="Times New Roman" w:hAnsi="Times New Roman" w:cs="Times New Roman"/>
          <w:color w:val="000000"/>
        </w:rPr>
        <w:t>一般公共服务（类）政协事务（款）一般行政管理事务（项）：指自贡市政协办公室的项目支出。</w:t>
      </w:r>
    </w:p>
    <w:p>
      <w:pPr>
        <w:spacing w:line="580" w:lineRule="exact"/>
        <w:ind w:firstLine="640" w:firstLineChars="200"/>
        <w:rPr>
          <w:rFonts w:hint="default" w:ascii="Times New Roman" w:hAnsi="Times New Roman" w:cs="Times New Roman"/>
          <w:color w:val="000000"/>
        </w:rPr>
      </w:pPr>
      <w:r>
        <w:rPr>
          <w:rFonts w:hint="default" w:ascii="Times New Roman" w:hAnsi="Times New Roman" w:cs="Times New Roman"/>
          <w:color w:val="000000"/>
          <w:lang w:val="en-US" w:eastAsia="zh-CN"/>
        </w:rPr>
        <w:t>5</w:t>
      </w:r>
      <w:r>
        <w:rPr>
          <w:rFonts w:hint="default" w:ascii="Times New Roman" w:hAnsi="Times New Roman" w:cs="Times New Roman"/>
          <w:color w:val="000000"/>
        </w:rPr>
        <w:t>、一般公共服务（类）政协事务（款）政协会议（项）：指自贡市政协办公室承办全体会议所产生的支出。</w:t>
      </w:r>
    </w:p>
    <w:p>
      <w:pPr>
        <w:spacing w:line="580" w:lineRule="exact"/>
        <w:ind w:firstLine="640" w:firstLineChars="200"/>
        <w:rPr>
          <w:rFonts w:hint="default" w:ascii="Times New Roman" w:hAnsi="Times New Roman" w:eastAsia="仿宋_GB2312" w:cs="Times New Roman"/>
          <w:lang w:val="en-US" w:eastAsia="zh-CN"/>
        </w:rPr>
      </w:pPr>
      <w:r>
        <w:rPr>
          <w:rFonts w:hint="default" w:ascii="Times New Roman" w:hAnsi="Times New Roman" w:cs="Times New Roman"/>
          <w:color w:val="000000"/>
          <w:lang w:val="en-US" w:eastAsia="zh-CN"/>
        </w:rPr>
        <w:t>6</w:t>
      </w:r>
      <w:r>
        <w:rPr>
          <w:rFonts w:hint="default" w:ascii="Times New Roman" w:hAnsi="Times New Roman" w:cs="Times New Roman"/>
          <w:color w:val="000000"/>
        </w:rPr>
        <w:t>、一般公共服务（类）政协事务（款）</w:t>
      </w:r>
      <w:r>
        <w:rPr>
          <w:rFonts w:hint="default" w:ascii="Times New Roman" w:hAnsi="Times New Roman" w:cs="Times New Roman"/>
          <w:color w:val="000000"/>
          <w:lang w:eastAsia="zh-CN"/>
        </w:rPr>
        <w:t>事业运行</w:t>
      </w:r>
      <w:r>
        <w:rPr>
          <w:rFonts w:hint="default" w:ascii="Times New Roman" w:hAnsi="Times New Roman" w:cs="Times New Roman"/>
          <w:color w:val="000000"/>
        </w:rPr>
        <w:t>（项）：</w:t>
      </w:r>
      <w:r>
        <w:rPr>
          <w:rFonts w:hint="default" w:ascii="Times New Roman" w:hAnsi="Times New Roman" w:cs="Times New Roman"/>
          <w:color w:val="000000"/>
          <w:lang w:eastAsia="zh-CN"/>
        </w:rPr>
        <w:t>反映自贡市政协办公室委员服务中心的基本支出</w:t>
      </w:r>
      <w:r>
        <w:rPr>
          <w:rFonts w:hint="default" w:ascii="Times New Roman" w:hAnsi="Times New Roman" w:cs="Times New Roman"/>
          <w:color w:val="000000"/>
        </w:rPr>
        <w:t>。</w:t>
      </w:r>
    </w:p>
    <w:p>
      <w:pPr>
        <w:spacing w:line="580" w:lineRule="exact"/>
        <w:ind w:firstLine="640" w:firstLineChars="200"/>
        <w:rPr>
          <w:rStyle w:val="15"/>
          <w:rFonts w:hint="default" w:ascii="Times New Roman" w:hAnsi="Times New Roman" w:cs="Times New Roman"/>
          <w:b w:val="0"/>
          <w:bCs w:val="0"/>
          <w:color w:val="000000"/>
        </w:rPr>
      </w:pPr>
      <w:r>
        <w:rPr>
          <w:rFonts w:hint="default" w:ascii="Times New Roman" w:hAnsi="Times New Roman" w:cs="Times New Roman"/>
          <w:color w:val="000000"/>
          <w:lang w:val="en-US" w:eastAsia="zh-CN"/>
        </w:rPr>
        <w:t>7</w:t>
      </w:r>
      <w:r>
        <w:rPr>
          <w:rFonts w:hint="default" w:ascii="Times New Roman" w:hAnsi="Times New Roman" w:cs="Times New Roman"/>
          <w:color w:val="000000"/>
        </w:rPr>
        <w:t>、</w:t>
      </w:r>
      <w:r>
        <w:rPr>
          <w:rStyle w:val="15"/>
          <w:rFonts w:hint="default" w:ascii="Times New Roman" w:hAnsi="Times New Roman" w:cs="Times New Roman"/>
          <w:b w:val="0"/>
          <w:bCs w:val="0"/>
          <w:color w:val="000000"/>
        </w:rPr>
        <w:t>社会保障和就业（类）行政事业单位养老（款）行政单位离退休（项）：指自贡市政协办公室离退休人员支出。</w:t>
      </w:r>
    </w:p>
    <w:p>
      <w:pPr>
        <w:spacing w:line="580" w:lineRule="exact"/>
        <w:ind w:firstLine="640" w:firstLineChars="200"/>
        <w:rPr>
          <w:rStyle w:val="15"/>
          <w:rFonts w:hint="default" w:ascii="Times New Roman" w:hAnsi="Times New Roman" w:cs="Times New Roman"/>
          <w:b w:val="0"/>
          <w:bCs w:val="0"/>
          <w:color w:val="000000"/>
        </w:rPr>
      </w:pPr>
      <w:r>
        <w:rPr>
          <w:rStyle w:val="15"/>
          <w:rFonts w:hint="default" w:ascii="Times New Roman" w:hAnsi="Times New Roman" w:cs="Times New Roman"/>
          <w:b w:val="0"/>
          <w:bCs w:val="0"/>
          <w:color w:val="000000"/>
          <w:lang w:val="en-US" w:eastAsia="zh-CN"/>
        </w:rPr>
        <w:t>8</w:t>
      </w:r>
      <w:r>
        <w:rPr>
          <w:rStyle w:val="15"/>
          <w:rFonts w:hint="default" w:ascii="Times New Roman" w:hAnsi="Times New Roman" w:cs="Times New Roman"/>
          <w:b w:val="0"/>
          <w:bCs w:val="0"/>
          <w:color w:val="000000"/>
        </w:rPr>
        <w:t>、社会保障和就业（类）行政事业单位养老（款）机关事业单位基本养老保险缴费支出（项）：指自贡市政协办公室按照规定标准为职工缴纳的基本养老保险支出。</w:t>
      </w:r>
    </w:p>
    <w:p>
      <w:pPr>
        <w:spacing w:line="580" w:lineRule="exact"/>
        <w:ind w:firstLine="640" w:firstLineChars="200"/>
        <w:rPr>
          <w:rStyle w:val="15"/>
          <w:rFonts w:hint="default" w:ascii="Times New Roman" w:hAnsi="Times New Roman" w:cs="Times New Roman"/>
          <w:b w:val="0"/>
          <w:bCs w:val="0"/>
          <w:color w:val="000000"/>
        </w:rPr>
      </w:pPr>
      <w:r>
        <w:rPr>
          <w:rStyle w:val="15"/>
          <w:rFonts w:hint="default" w:ascii="Times New Roman" w:hAnsi="Times New Roman" w:cs="Times New Roman"/>
          <w:b w:val="0"/>
          <w:bCs w:val="0"/>
          <w:color w:val="000000"/>
          <w:lang w:val="en-US" w:eastAsia="zh-CN"/>
        </w:rPr>
        <w:t>9</w:t>
      </w:r>
      <w:r>
        <w:rPr>
          <w:rStyle w:val="15"/>
          <w:rFonts w:hint="default" w:ascii="Times New Roman" w:hAnsi="Times New Roman" w:cs="Times New Roman"/>
          <w:b w:val="0"/>
          <w:bCs w:val="0"/>
          <w:color w:val="000000"/>
        </w:rPr>
        <w:t>、社会保障和就业（类）行政事业单位养老（款）机关事业单位职业年金缴费支出（项）：指自贡市政协办公室为机关职工缴纳</w:t>
      </w:r>
      <w:r>
        <w:rPr>
          <w:rStyle w:val="15"/>
          <w:rFonts w:hint="default" w:ascii="Times New Roman" w:hAnsi="Times New Roman" w:cs="Times New Roman"/>
          <w:b w:val="0"/>
          <w:bCs w:val="0"/>
          <w:color w:val="000000"/>
          <w:lang w:eastAsia="zh-CN"/>
        </w:rPr>
        <w:t>的</w:t>
      </w:r>
      <w:r>
        <w:rPr>
          <w:rStyle w:val="15"/>
          <w:rFonts w:hint="default" w:ascii="Times New Roman" w:hAnsi="Times New Roman" w:cs="Times New Roman"/>
          <w:b w:val="0"/>
          <w:bCs w:val="0"/>
          <w:color w:val="000000"/>
        </w:rPr>
        <w:t>年金</w:t>
      </w:r>
      <w:r>
        <w:rPr>
          <w:rStyle w:val="15"/>
          <w:rFonts w:hint="default" w:ascii="Times New Roman" w:hAnsi="Times New Roman" w:cs="Times New Roman"/>
          <w:b w:val="0"/>
          <w:bCs w:val="0"/>
          <w:color w:val="000000"/>
          <w:lang w:eastAsia="zh-CN"/>
        </w:rPr>
        <w:t>记实和</w:t>
      </w:r>
      <w:r>
        <w:rPr>
          <w:rFonts w:hint="default" w:ascii="Times New Roman" w:hAnsi="Times New Roman" w:cs="Times New Roman"/>
          <w:color w:val="000000"/>
        </w:rPr>
        <w:t>自贡市政协办公室</w:t>
      </w:r>
      <w:r>
        <w:rPr>
          <w:rFonts w:hint="default" w:ascii="Times New Roman" w:hAnsi="Times New Roman" w:cs="Times New Roman"/>
          <w:color w:val="000000"/>
          <w:lang w:eastAsia="zh-CN"/>
        </w:rPr>
        <w:t>委员服务中心按照规定标准为职工缴纳的年金支出</w:t>
      </w:r>
      <w:r>
        <w:rPr>
          <w:rStyle w:val="15"/>
          <w:rFonts w:hint="default" w:ascii="Times New Roman" w:hAnsi="Times New Roman" w:cs="Times New Roman"/>
          <w:b w:val="0"/>
          <w:bCs w:val="0"/>
          <w:color w:val="000000"/>
        </w:rPr>
        <w:t>。</w:t>
      </w:r>
    </w:p>
    <w:p>
      <w:pPr>
        <w:spacing w:line="580" w:lineRule="exact"/>
        <w:ind w:firstLine="640" w:firstLineChars="200"/>
        <w:rPr>
          <w:rStyle w:val="15"/>
          <w:rFonts w:hint="default" w:ascii="Times New Roman" w:hAnsi="Times New Roman" w:cs="Times New Roman"/>
          <w:b w:val="0"/>
          <w:bCs w:val="0"/>
          <w:color w:val="000000"/>
        </w:rPr>
      </w:pPr>
      <w:r>
        <w:rPr>
          <w:rStyle w:val="15"/>
          <w:rFonts w:hint="default" w:ascii="Times New Roman" w:hAnsi="Times New Roman" w:cs="Times New Roman"/>
          <w:b w:val="0"/>
          <w:bCs w:val="0"/>
          <w:color w:val="000000"/>
          <w:lang w:val="en-US" w:eastAsia="zh-CN"/>
        </w:rPr>
        <w:t>10</w:t>
      </w:r>
      <w:r>
        <w:rPr>
          <w:rStyle w:val="15"/>
          <w:rFonts w:hint="default" w:ascii="Times New Roman" w:hAnsi="Times New Roman" w:cs="Times New Roman"/>
          <w:b w:val="0"/>
          <w:bCs w:val="0"/>
          <w:color w:val="000000"/>
        </w:rPr>
        <w:t>、社会保障和就业（类）抚恤（款）死亡抚恤（项）：指自贡市政协办公室为去世人员支付的抚恤及丧葬费。</w:t>
      </w:r>
    </w:p>
    <w:p>
      <w:pPr>
        <w:spacing w:line="580" w:lineRule="exact"/>
        <w:ind w:firstLine="640" w:firstLineChars="200"/>
        <w:rPr>
          <w:rStyle w:val="15"/>
          <w:rFonts w:hint="default" w:ascii="Times New Roman" w:hAnsi="Times New Roman" w:cs="Times New Roman"/>
          <w:b w:val="0"/>
          <w:bCs w:val="0"/>
          <w:color w:val="000000"/>
        </w:rPr>
      </w:pPr>
      <w:r>
        <w:rPr>
          <w:rStyle w:val="15"/>
          <w:rFonts w:hint="default" w:ascii="Times New Roman" w:hAnsi="Times New Roman" w:cs="Times New Roman"/>
          <w:b w:val="0"/>
          <w:bCs w:val="0"/>
          <w:color w:val="000000"/>
        </w:rPr>
        <w:t>1</w:t>
      </w:r>
      <w:r>
        <w:rPr>
          <w:rStyle w:val="15"/>
          <w:rFonts w:hint="default" w:ascii="Times New Roman" w:hAnsi="Times New Roman" w:cs="Times New Roman"/>
          <w:b w:val="0"/>
          <w:bCs w:val="0"/>
          <w:color w:val="000000"/>
          <w:lang w:val="en-US" w:eastAsia="zh-CN"/>
        </w:rPr>
        <w:t>1</w:t>
      </w:r>
      <w:r>
        <w:rPr>
          <w:rStyle w:val="15"/>
          <w:rFonts w:hint="default" w:ascii="Times New Roman" w:hAnsi="Times New Roman" w:cs="Times New Roman"/>
          <w:b w:val="0"/>
          <w:bCs w:val="0"/>
          <w:color w:val="000000"/>
        </w:rPr>
        <w:t>、卫生健康支出（类）行政事业单位医疗（款）行政单位医疗（项）：指</w:t>
      </w:r>
      <w:r>
        <w:rPr>
          <w:rFonts w:hint="default" w:ascii="Times New Roman" w:hAnsi="Times New Roman" w:cs="Times New Roman"/>
          <w:color w:val="000000"/>
        </w:rPr>
        <w:t>自贡市政协办公室</w:t>
      </w:r>
      <w:r>
        <w:rPr>
          <w:rFonts w:hint="default" w:ascii="Times New Roman" w:hAnsi="Times New Roman" w:cs="Times New Roman"/>
          <w:color w:val="000000"/>
          <w:lang w:eastAsia="zh-CN"/>
        </w:rPr>
        <w:t>和自贡市政协办公室委员服务中心</w:t>
      </w:r>
      <w:r>
        <w:rPr>
          <w:rStyle w:val="15"/>
          <w:rFonts w:hint="default" w:ascii="Times New Roman" w:hAnsi="Times New Roman" w:cs="Times New Roman"/>
          <w:b w:val="0"/>
          <w:bCs w:val="0"/>
          <w:color w:val="000000"/>
        </w:rPr>
        <w:t>按照规定标准为职工缴纳的</w:t>
      </w:r>
      <w:r>
        <w:rPr>
          <w:rStyle w:val="15"/>
          <w:rFonts w:hint="default" w:ascii="Times New Roman" w:hAnsi="Times New Roman" w:cs="Times New Roman"/>
          <w:b w:val="0"/>
          <w:bCs w:val="0"/>
          <w:color w:val="000000"/>
          <w:lang w:eastAsia="zh-CN"/>
        </w:rPr>
        <w:t>医疗保险</w:t>
      </w:r>
      <w:r>
        <w:rPr>
          <w:rStyle w:val="15"/>
          <w:rFonts w:hint="default" w:ascii="Times New Roman" w:hAnsi="Times New Roman" w:cs="Times New Roman"/>
          <w:b w:val="0"/>
          <w:bCs w:val="0"/>
          <w:color w:val="000000"/>
        </w:rPr>
        <w:t>支出。</w:t>
      </w:r>
    </w:p>
    <w:p>
      <w:pPr>
        <w:spacing w:line="580" w:lineRule="exact"/>
        <w:ind w:firstLine="640" w:firstLineChars="200"/>
        <w:rPr>
          <w:rFonts w:hint="default" w:ascii="Times New Roman" w:hAnsi="Times New Roman" w:cs="Times New Roman"/>
        </w:rPr>
      </w:pPr>
      <w:r>
        <w:rPr>
          <w:rStyle w:val="15"/>
          <w:rFonts w:hint="default" w:ascii="Times New Roman" w:hAnsi="Times New Roman" w:cs="Times New Roman"/>
          <w:b w:val="0"/>
          <w:bCs w:val="0"/>
          <w:color w:val="000000"/>
          <w:lang w:val="en-US" w:eastAsia="zh-CN"/>
        </w:rPr>
        <w:t>12、</w:t>
      </w:r>
      <w:r>
        <w:rPr>
          <w:rStyle w:val="15"/>
          <w:rFonts w:hint="default" w:ascii="Times New Roman" w:hAnsi="Times New Roman" w:cs="Times New Roman"/>
          <w:b w:val="0"/>
          <w:bCs w:val="0"/>
          <w:color w:val="000000"/>
        </w:rPr>
        <w:t>卫生健康支出（类）行政事业单位医疗（款</w:t>
      </w:r>
      <w:r>
        <w:rPr>
          <w:rStyle w:val="15"/>
          <w:rFonts w:hint="default" w:ascii="Times New Roman" w:hAnsi="Times New Roman" w:cs="Times New Roman"/>
          <w:b w:val="0"/>
          <w:bCs w:val="0"/>
          <w:color w:val="000000"/>
          <w:lang w:eastAsia="zh-CN"/>
        </w:rPr>
        <w:t>）事业</w:t>
      </w:r>
      <w:r>
        <w:rPr>
          <w:rStyle w:val="15"/>
          <w:rFonts w:hint="default" w:ascii="Times New Roman" w:hAnsi="Times New Roman" w:cs="Times New Roman"/>
          <w:b w:val="0"/>
          <w:bCs w:val="0"/>
          <w:color w:val="000000"/>
        </w:rPr>
        <w:t>单位医疗（项）：指</w:t>
      </w:r>
      <w:r>
        <w:rPr>
          <w:rFonts w:hint="default" w:ascii="Times New Roman" w:hAnsi="Times New Roman" w:cs="Times New Roman"/>
          <w:color w:val="000000"/>
        </w:rPr>
        <w:t>自贡市政协办公室</w:t>
      </w:r>
      <w:r>
        <w:rPr>
          <w:rFonts w:hint="default" w:ascii="Times New Roman" w:hAnsi="Times New Roman" w:cs="Times New Roman"/>
          <w:color w:val="000000"/>
          <w:lang w:eastAsia="zh-CN"/>
        </w:rPr>
        <w:t>委员服务中心</w:t>
      </w:r>
      <w:r>
        <w:rPr>
          <w:rStyle w:val="15"/>
          <w:rFonts w:hint="default" w:ascii="Times New Roman" w:hAnsi="Times New Roman" w:cs="Times New Roman"/>
          <w:b w:val="0"/>
          <w:bCs w:val="0"/>
          <w:color w:val="000000"/>
        </w:rPr>
        <w:t>按照规定标准为职工缴纳的</w:t>
      </w:r>
      <w:r>
        <w:rPr>
          <w:rStyle w:val="15"/>
          <w:rFonts w:hint="default" w:ascii="Times New Roman" w:hAnsi="Times New Roman" w:cs="Times New Roman"/>
          <w:b w:val="0"/>
          <w:bCs w:val="0"/>
          <w:color w:val="000000"/>
          <w:lang w:eastAsia="zh-CN"/>
        </w:rPr>
        <w:t>医疗保险</w:t>
      </w:r>
      <w:r>
        <w:rPr>
          <w:rStyle w:val="15"/>
          <w:rFonts w:hint="default" w:ascii="Times New Roman" w:hAnsi="Times New Roman" w:cs="Times New Roman"/>
          <w:b w:val="0"/>
          <w:bCs w:val="0"/>
          <w:color w:val="000000"/>
        </w:rPr>
        <w:t>支出。</w:t>
      </w:r>
    </w:p>
    <w:p>
      <w:pPr>
        <w:spacing w:line="580" w:lineRule="exact"/>
        <w:ind w:firstLine="640" w:firstLineChars="200"/>
        <w:rPr>
          <w:rFonts w:hint="default" w:ascii="Times New Roman" w:hAnsi="Times New Roman" w:cs="Times New Roman"/>
          <w:color w:val="000000"/>
        </w:rPr>
      </w:pPr>
      <w:r>
        <w:rPr>
          <w:rStyle w:val="15"/>
          <w:rFonts w:hint="default" w:ascii="Times New Roman" w:hAnsi="Times New Roman" w:cs="Times New Roman"/>
          <w:b w:val="0"/>
          <w:bCs w:val="0"/>
          <w:color w:val="000000"/>
        </w:rPr>
        <w:t>1</w:t>
      </w:r>
      <w:r>
        <w:rPr>
          <w:rStyle w:val="15"/>
          <w:rFonts w:hint="default" w:ascii="Times New Roman" w:hAnsi="Times New Roman" w:cs="Times New Roman"/>
          <w:b w:val="0"/>
          <w:bCs w:val="0"/>
          <w:color w:val="000000"/>
          <w:lang w:val="en-US" w:eastAsia="zh-CN"/>
        </w:rPr>
        <w:t>3</w:t>
      </w:r>
      <w:r>
        <w:rPr>
          <w:rStyle w:val="15"/>
          <w:rFonts w:hint="default" w:ascii="Times New Roman" w:hAnsi="Times New Roman" w:cs="Times New Roman"/>
          <w:b w:val="0"/>
          <w:bCs w:val="0"/>
          <w:color w:val="000000"/>
        </w:rPr>
        <w:t>、住房保障支出（类）住房改革支出（款）住房公积金</w:t>
      </w:r>
      <w:r>
        <w:rPr>
          <w:rFonts w:hint="default" w:ascii="Times New Roman" w:hAnsi="Times New Roman" w:cs="Times New Roman"/>
          <w:color w:val="000000"/>
        </w:rPr>
        <w:t>：指</w:t>
      </w:r>
      <w:r>
        <w:rPr>
          <w:rStyle w:val="15"/>
          <w:rFonts w:hint="default" w:ascii="Times New Roman" w:hAnsi="Times New Roman" w:cs="Times New Roman"/>
          <w:b w:val="0"/>
          <w:bCs w:val="0"/>
          <w:color w:val="000000"/>
        </w:rPr>
        <w:t>自贡市政协办公室</w:t>
      </w:r>
      <w:r>
        <w:rPr>
          <w:rStyle w:val="15"/>
          <w:rFonts w:hint="default" w:ascii="Times New Roman" w:hAnsi="Times New Roman" w:cs="Times New Roman"/>
          <w:b w:val="0"/>
          <w:bCs w:val="0"/>
          <w:color w:val="000000"/>
          <w:lang w:eastAsia="zh-CN"/>
        </w:rPr>
        <w:t>和自贡市政协办公室委员服务中心</w:t>
      </w:r>
      <w:r>
        <w:rPr>
          <w:rFonts w:hint="default" w:ascii="Times New Roman" w:hAnsi="Times New Roman" w:cs="Times New Roman"/>
          <w:color w:val="000000"/>
        </w:rPr>
        <w:t>按比例为机关职工缴存的住房公积金。</w:t>
      </w:r>
    </w:p>
    <w:p>
      <w:pPr>
        <w:spacing w:line="580" w:lineRule="exact"/>
        <w:ind w:firstLine="640" w:firstLineChars="200"/>
        <w:rPr>
          <w:rFonts w:hint="default" w:ascii="Times New Roman" w:hAnsi="Times New Roman" w:cs="Times New Roman"/>
          <w:color w:val="000000"/>
        </w:rPr>
      </w:pPr>
      <w:r>
        <w:rPr>
          <w:rFonts w:hint="default" w:ascii="Times New Roman" w:hAnsi="Times New Roman" w:cs="Times New Roman"/>
          <w:color w:val="000000"/>
        </w:rPr>
        <w:t>1</w:t>
      </w:r>
      <w:r>
        <w:rPr>
          <w:rFonts w:hint="default" w:ascii="Times New Roman" w:hAnsi="Times New Roman" w:cs="Times New Roman"/>
          <w:color w:val="000000"/>
          <w:lang w:val="en-US" w:eastAsia="zh-CN"/>
        </w:rPr>
        <w:t>4</w:t>
      </w:r>
      <w:r>
        <w:rPr>
          <w:rFonts w:hint="default" w:ascii="Times New Roman" w:hAnsi="Times New Roman" w:cs="Times New Roman"/>
          <w:color w:val="000000"/>
        </w:rPr>
        <w:t>、基本支出：指为保障机构正常运转、完成日常工作任务而发生的人员支出和公用支出。</w:t>
      </w:r>
    </w:p>
    <w:p>
      <w:pPr>
        <w:spacing w:line="580" w:lineRule="exact"/>
        <w:ind w:firstLine="640" w:firstLineChars="200"/>
        <w:rPr>
          <w:rFonts w:hint="default" w:ascii="Times New Roman" w:hAnsi="Times New Roman" w:cs="Times New Roman"/>
          <w:color w:val="000000"/>
        </w:rPr>
      </w:pPr>
      <w:r>
        <w:rPr>
          <w:rFonts w:hint="default" w:ascii="Times New Roman" w:hAnsi="Times New Roman" w:cs="Times New Roman"/>
          <w:color w:val="000000"/>
        </w:rPr>
        <w:t>1</w:t>
      </w:r>
      <w:r>
        <w:rPr>
          <w:rFonts w:hint="default" w:ascii="Times New Roman" w:hAnsi="Times New Roman" w:cs="Times New Roman"/>
          <w:color w:val="000000"/>
          <w:lang w:val="en-US" w:eastAsia="zh-CN"/>
        </w:rPr>
        <w:t>5</w:t>
      </w:r>
      <w:r>
        <w:rPr>
          <w:rFonts w:hint="default" w:ascii="Times New Roman" w:hAnsi="Times New Roman" w:cs="Times New Roman"/>
          <w:color w:val="000000"/>
        </w:rPr>
        <w:t xml:space="preserve">、项目支出：指在基本支出之外为完成特定行政任务和事业发展目标所发生的支出。 </w:t>
      </w:r>
    </w:p>
    <w:p>
      <w:pPr>
        <w:pStyle w:val="25"/>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5"/>
        <w:spacing w:line="580" w:lineRule="exact"/>
        <w:rPr>
          <w:rFonts w:hint="default" w:ascii="Times New Roman" w:hAnsi="Times New Roman" w:eastAsia="仿宋_GB2312" w:cs="Times New Roman"/>
          <w:sz w:val="32"/>
          <w:szCs w:val="32"/>
        </w:rPr>
      </w:pPr>
    </w:p>
    <w:p>
      <w:pPr>
        <w:spacing w:line="580" w:lineRule="exact"/>
        <w:jc w:val="center"/>
        <w:outlineLvl w:val="9"/>
        <w:rPr>
          <w:rFonts w:hint="default" w:ascii="Times New Roman" w:hAnsi="Times New Roman" w:eastAsia="黑体" w:cs="Times New Roman"/>
          <w:color w:val="000000"/>
          <w:sz w:val="44"/>
          <w:szCs w:val="44"/>
        </w:rPr>
      </w:pPr>
      <w:bookmarkStart w:id="108" w:name="_Toc15396614"/>
      <w:bookmarkStart w:id="109" w:name="_Toc15377226"/>
    </w:p>
    <w:p>
      <w:pPr>
        <w:spacing w:line="580" w:lineRule="exact"/>
        <w:jc w:val="center"/>
        <w:outlineLvl w:val="9"/>
        <w:rPr>
          <w:rFonts w:hint="default" w:ascii="Times New Roman" w:hAnsi="Times New Roman" w:eastAsia="黑体" w:cs="Times New Roman"/>
          <w:color w:val="000000"/>
          <w:sz w:val="44"/>
          <w:szCs w:val="44"/>
        </w:rPr>
      </w:pPr>
    </w:p>
    <w:p>
      <w:pPr>
        <w:spacing w:line="580" w:lineRule="exact"/>
        <w:jc w:val="center"/>
        <w:outlineLvl w:val="9"/>
        <w:rPr>
          <w:rFonts w:hint="default" w:ascii="Times New Roman" w:hAnsi="Times New Roman" w:eastAsia="黑体" w:cs="Times New Roman"/>
          <w:color w:val="000000"/>
          <w:sz w:val="44"/>
          <w:szCs w:val="44"/>
        </w:rPr>
      </w:pPr>
    </w:p>
    <w:p>
      <w:pPr>
        <w:spacing w:line="580" w:lineRule="exact"/>
        <w:jc w:val="center"/>
        <w:outlineLvl w:val="9"/>
        <w:rPr>
          <w:rFonts w:hint="default" w:ascii="Times New Roman" w:hAnsi="Times New Roman" w:eastAsia="黑体" w:cs="Times New Roman"/>
          <w:color w:val="000000"/>
          <w:sz w:val="44"/>
          <w:szCs w:val="44"/>
        </w:rPr>
      </w:pPr>
    </w:p>
    <w:p>
      <w:pPr>
        <w:spacing w:line="580" w:lineRule="exact"/>
        <w:jc w:val="center"/>
        <w:outlineLvl w:val="9"/>
        <w:rPr>
          <w:rFonts w:hint="default" w:ascii="Times New Roman" w:hAnsi="Times New Roman" w:eastAsia="黑体" w:cs="Times New Roman"/>
          <w:color w:val="000000"/>
          <w:sz w:val="44"/>
          <w:szCs w:val="44"/>
        </w:rPr>
      </w:pPr>
    </w:p>
    <w:p>
      <w:pPr>
        <w:spacing w:line="580" w:lineRule="exact"/>
        <w:jc w:val="center"/>
        <w:outlineLvl w:val="9"/>
        <w:rPr>
          <w:rFonts w:hint="default" w:ascii="Times New Roman" w:hAnsi="Times New Roman" w:eastAsia="黑体" w:cs="Times New Roman"/>
          <w:color w:val="000000"/>
          <w:sz w:val="44"/>
          <w:szCs w:val="44"/>
        </w:rPr>
      </w:pPr>
    </w:p>
    <w:p>
      <w:pPr>
        <w:spacing w:line="580" w:lineRule="exact"/>
        <w:jc w:val="center"/>
        <w:outlineLvl w:val="9"/>
        <w:rPr>
          <w:rFonts w:hint="default" w:ascii="Times New Roman" w:hAnsi="Times New Roman" w:eastAsia="黑体" w:cs="Times New Roman"/>
          <w:color w:val="000000"/>
          <w:sz w:val="44"/>
          <w:szCs w:val="44"/>
        </w:rPr>
      </w:pPr>
    </w:p>
    <w:p>
      <w:pPr>
        <w:spacing w:line="580" w:lineRule="exact"/>
        <w:jc w:val="center"/>
        <w:outlineLvl w:val="9"/>
        <w:rPr>
          <w:rFonts w:hint="default" w:ascii="Times New Roman" w:hAnsi="Times New Roman" w:eastAsia="黑体" w:cs="Times New Roman"/>
          <w:color w:val="000000"/>
          <w:sz w:val="44"/>
          <w:szCs w:val="44"/>
        </w:rPr>
      </w:pPr>
    </w:p>
    <w:p>
      <w:pPr>
        <w:spacing w:line="580" w:lineRule="exact"/>
        <w:jc w:val="center"/>
        <w:outlineLvl w:val="9"/>
        <w:rPr>
          <w:rFonts w:hint="default" w:ascii="Times New Roman" w:hAnsi="Times New Roman" w:eastAsia="黑体" w:cs="Times New Roman"/>
          <w:color w:val="000000"/>
          <w:sz w:val="44"/>
          <w:szCs w:val="44"/>
        </w:rPr>
      </w:pPr>
    </w:p>
    <w:p>
      <w:pPr>
        <w:spacing w:line="580" w:lineRule="exact"/>
        <w:jc w:val="center"/>
        <w:outlineLvl w:val="9"/>
        <w:rPr>
          <w:rFonts w:hint="default" w:ascii="Times New Roman" w:hAnsi="Times New Roman" w:eastAsia="黑体" w:cs="Times New Roman"/>
          <w:color w:val="000000"/>
          <w:sz w:val="44"/>
          <w:szCs w:val="44"/>
        </w:rPr>
      </w:pPr>
    </w:p>
    <w:p>
      <w:pPr>
        <w:spacing w:line="580" w:lineRule="exact"/>
        <w:jc w:val="center"/>
        <w:outlineLvl w:val="9"/>
        <w:rPr>
          <w:rFonts w:hint="default" w:ascii="Times New Roman" w:hAnsi="Times New Roman" w:eastAsia="黑体" w:cs="Times New Roman"/>
          <w:color w:val="000000"/>
          <w:sz w:val="44"/>
          <w:szCs w:val="44"/>
        </w:rPr>
      </w:pPr>
    </w:p>
    <w:p>
      <w:pPr>
        <w:spacing w:line="580" w:lineRule="exact"/>
        <w:jc w:val="center"/>
        <w:outlineLvl w:val="9"/>
        <w:rPr>
          <w:rFonts w:hint="default" w:ascii="Times New Roman" w:hAnsi="Times New Roman" w:eastAsia="黑体" w:cs="Times New Roman"/>
          <w:color w:val="000000"/>
          <w:sz w:val="44"/>
          <w:szCs w:val="44"/>
        </w:rPr>
      </w:pPr>
    </w:p>
    <w:p>
      <w:pPr>
        <w:spacing w:line="580" w:lineRule="exact"/>
        <w:jc w:val="center"/>
        <w:outlineLvl w:val="9"/>
        <w:rPr>
          <w:rFonts w:hint="default" w:ascii="Times New Roman" w:hAnsi="Times New Roman" w:eastAsia="黑体" w:cs="Times New Roman"/>
          <w:color w:val="000000"/>
          <w:sz w:val="44"/>
          <w:szCs w:val="44"/>
        </w:rPr>
      </w:pPr>
    </w:p>
    <w:p>
      <w:pPr>
        <w:spacing w:line="580" w:lineRule="exact"/>
        <w:jc w:val="center"/>
        <w:outlineLvl w:val="9"/>
        <w:rPr>
          <w:rFonts w:hint="default" w:ascii="Times New Roman" w:hAnsi="Times New Roman" w:eastAsia="黑体" w:cs="Times New Roman"/>
          <w:color w:val="000000"/>
          <w:sz w:val="44"/>
          <w:szCs w:val="44"/>
        </w:rPr>
      </w:pPr>
    </w:p>
    <w:p>
      <w:pPr>
        <w:spacing w:line="580" w:lineRule="exact"/>
        <w:jc w:val="center"/>
        <w:outlineLvl w:val="0"/>
        <w:rPr>
          <w:rStyle w:val="19"/>
          <w:rFonts w:hint="default" w:ascii="Times New Roman" w:hAnsi="Times New Roman" w:eastAsia="黑体" w:cs="Times New Roman"/>
          <w:b w:val="0"/>
          <w:bCs w:val="0"/>
        </w:rPr>
      </w:pPr>
      <w:bookmarkStart w:id="110" w:name="_Toc12976"/>
      <w:bookmarkStart w:id="111" w:name="_Toc18958"/>
      <w:bookmarkStart w:id="112" w:name="_Toc26285"/>
      <w:bookmarkStart w:id="113" w:name="_Toc1368"/>
      <w:r>
        <w:rPr>
          <w:rFonts w:hint="default" w:ascii="Times New Roman" w:hAnsi="Times New Roman" w:eastAsia="黑体" w:cs="Times New Roman"/>
          <w:color w:val="000000"/>
          <w:sz w:val="44"/>
          <w:szCs w:val="44"/>
        </w:rPr>
        <w:t>第</w:t>
      </w:r>
      <w:r>
        <w:rPr>
          <w:rStyle w:val="19"/>
          <w:rFonts w:hint="default" w:ascii="Times New Roman" w:hAnsi="Times New Roman" w:eastAsia="黑体" w:cs="Times New Roman"/>
          <w:b w:val="0"/>
          <w:bCs w:val="0"/>
        </w:rPr>
        <w:t>四部分 附件</w:t>
      </w:r>
      <w:bookmarkEnd w:id="108"/>
      <w:bookmarkEnd w:id="110"/>
      <w:bookmarkEnd w:id="111"/>
      <w:bookmarkEnd w:id="112"/>
      <w:bookmarkEnd w:id="113"/>
    </w:p>
    <w:p>
      <w:pPr>
        <w:spacing w:line="580" w:lineRule="exact"/>
        <w:jc w:val="left"/>
        <w:outlineLvl w:val="1"/>
        <w:rPr>
          <w:rFonts w:hint="default" w:ascii="Times New Roman" w:hAnsi="Times New Roman" w:eastAsia="方正小标宋简体" w:cs="Times New Roman"/>
        </w:rPr>
      </w:pPr>
      <w:bookmarkStart w:id="114" w:name="_Toc27071"/>
      <w:bookmarkStart w:id="115" w:name="_Toc22941"/>
      <w:bookmarkStart w:id="116" w:name="_Toc8698"/>
      <w:bookmarkStart w:id="117" w:name="_Toc7062"/>
      <w:r>
        <w:rPr>
          <w:rFonts w:hint="default" w:ascii="Times New Roman" w:hAnsi="Times New Roman" w:eastAsia="黑体" w:cs="Times New Roman"/>
        </w:rPr>
        <w:t>附件1</w:t>
      </w:r>
      <w:bookmarkEnd w:id="114"/>
      <w:bookmarkEnd w:id="115"/>
      <w:bookmarkEnd w:id="116"/>
      <w:bookmarkEnd w:id="117"/>
    </w:p>
    <w:p>
      <w:pPr>
        <w:spacing w:line="580" w:lineRule="exact"/>
        <w:jc w:val="center"/>
        <w:rPr>
          <w:rFonts w:hint="default" w:ascii="Times New Roman" w:hAnsi="Times New Roman" w:eastAsia="方正小标宋简体" w:cs="Times New Roman"/>
          <w:sz w:val="44"/>
          <w:szCs w:val="44"/>
        </w:rPr>
      </w:pPr>
    </w:p>
    <w:p>
      <w:pPr>
        <w:spacing w:line="580" w:lineRule="exact"/>
        <w:jc w:val="center"/>
        <w:rPr>
          <w:rFonts w:hint="default" w:ascii="Times New Roman" w:hAnsi="Times New Roman" w:eastAsia="方正小标宋简体" w:cs="Times New Roman"/>
          <w:color w:val="000000"/>
          <w:kern w:val="0"/>
          <w:sz w:val="40"/>
          <w:szCs w:val="40"/>
        </w:rPr>
      </w:pPr>
      <w:r>
        <w:rPr>
          <w:rFonts w:hint="default" w:ascii="Times New Roman" w:hAnsi="Times New Roman" w:eastAsia="方正小标宋简体" w:cs="Times New Roman"/>
          <w:color w:val="000000"/>
          <w:kern w:val="0"/>
          <w:sz w:val="40"/>
          <w:szCs w:val="40"/>
        </w:rPr>
        <w:t>自贡市政协办公室</w:t>
      </w:r>
    </w:p>
    <w:p>
      <w:pPr>
        <w:spacing w:line="580" w:lineRule="exact"/>
        <w:jc w:val="center"/>
        <w:rPr>
          <w:rFonts w:hint="default" w:ascii="Times New Roman" w:hAnsi="Times New Roman" w:eastAsia="方正小标宋简体" w:cs="Times New Roman"/>
          <w:color w:val="000000"/>
          <w:kern w:val="0"/>
          <w:sz w:val="40"/>
          <w:szCs w:val="40"/>
          <w:lang w:val="zh-CN"/>
        </w:rPr>
      </w:pPr>
      <w:r>
        <w:rPr>
          <w:rFonts w:hint="default" w:ascii="Times New Roman" w:hAnsi="Times New Roman" w:eastAsia="方正小标宋简体" w:cs="Times New Roman"/>
          <w:color w:val="000000"/>
          <w:kern w:val="0"/>
          <w:sz w:val="40"/>
          <w:szCs w:val="40"/>
        </w:rPr>
        <w:t>202</w:t>
      </w:r>
      <w:r>
        <w:rPr>
          <w:rFonts w:hint="default" w:ascii="Times New Roman" w:hAnsi="Times New Roman" w:eastAsia="方正小标宋简体" w:cs="Times New Roman"/>
          <w:color w:val="000000"/>
          <w:kern w:val="0"/>
          <w:sz w:val="40"/>
          <w:szCs w:val="40"/>
          <w:lang w:val="en-US" w:eastAsia="zh-CN"/>
        </w:rPr>
        <w:t>1</w:t>
      </w:r>
      <w:r>
        <w:rPr>
          <w:rFonts w:hint="default" w:ascii="Times New Roman" w:hAnsi="Times New Roman" w:eastAsia="方正小标宋简体" w:cs="Times New Roman"/>
          <w:color w:val="000000"/>
          <w:kern w:val="0"/>
          <w:sz w:val="40"/>
          <w:szCs w:val="40"/>
        </w:rPr>
        <w:t>年部门</w:t>
      </w:r>
      <w:r>
        <w:rPr>
          <w:rFonts w:hint="default" w:ascii="Times New Roman" w:hAnsi="Times New Roman" w:eastAsia="方正小标宋简体" w:cs="Times New Roman"/>
          <w:color w:val="000000"/>
          <w:kern w:val="0"/>
          <w:sz w:val="40"/>
          <w:szCs w:val="40"/>
          <w:lang w:val="zh-CN"/>
        </w:rPr>
        <w:t>整体绩效评价报告</w:t>
      </w:r>
    </w:p>
    <w:p>
      <w:pPr>
        <w:spacing w:line="592" w:lineRule="exact"/>
        <w:ind w:firstLine="640" w:firstLineChars="200"/>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黑体" w:cs="Times New Roman"/>
        </w:rPr>
      </w:pPr>
      <w:bookmarkStart w:id="118" w:name="_Toc27102"/>
      <w:bookmarkStart w:id="119" w:name="_Toc26088"/>
      <w:r>
        <w:rPr>
          <w:rFonts w:hint="default" w:ascii="Times New Roman" w:hAnsi="Times New Roman" w:eastAsia="黑体" w:cs="Times New Roman"/>
        </w:rPr>
        <w:t>一、部门（单位）概况</w:t>
      </w:r>
      <w:bookmarkEnd w:id="118"/>
      <w:bookmarkEnd w:id="119"/>
    </w:p>
    <w:p>
      <w:pPr>
        <w:spacing w:line="592" w:lineRule="exact"/>
        <w:ind w:firstLine="643" w:firstLineChars="200"/>
        <w:rPr>
          <w:rFonts w:hint="default" w:ascii="Times New Roman" w:hAnsi="Times New Roman" w:eastAsia="楷体" w:cs="Times New Roman"/>
          <w:b/>
          <w:bCs/>
        </w:rPr>
      </w:pPr>
      <w:r>
        <w:rPr>
          <w:rFonts w:hint="default" w:ascii="Times New Roman" w:hAnsi="Times New Roman" w:eastAsia="楷体" w:cs="Times New Roman"/>
          <w:b/>
          <w:bCs/>
        </w:rPr>
        <w:t>（一）机构组成</w:t>
      </w:r>
    </w:p>
    <w:p>
      <w:pPr>
        <w:pStyle w:val="5"/>
        <w:adjustRightInd w:val="0"/>
        <w:snapToGrid w:val="0"/>
        <w:spacing w:before="93" w:line="592" w:lineRule="exact"/>
        <w:ind w:firstLine="640" w:firstLineChars="200"/>
        <w:rPr>
          <w:rFonts w:hint="default" w:ascii="Times New Roman" w:hAnsi="Times New Roman" w:eastAsia="仿宋_GB2312" w:cs="Times New Roman"/>
          <w:lang w:val="en-US" w:eastAsia="zh-CN"/>
        </w:rPr>
      </w:pPr>
      <w:bookmarkStart w:id="120" w:name="_Toc30323"/>
      <w:r>
        <w:rPr>
          <w:rFonts w:hint="default" w:ascii="Times New Roman" w:hAnsi="Times New Roman" w:eastAsia="仿宋_GB2312" w:cs="Times New Roman"/>
          <w:lang w:val="en-US" w:eastAsia="zh-CN"/>
        </w:rPr>
        <w:t>自贡市</w:t>
      </w:r>
      <w:r>
        <w:rPr>
          <w:rStyle w:val="17"/>
          <w:rFonts w:hint="default" w:ascii="Times New Roman" w:hAnsi="Times New Roman" w:eastAsia="仿宋_GB2312" w:cs="Times New Roman"/>
          <w:lang w:val="en-US" w:eastAsia="zh-CN"/>
        </w:rPr>
        <w:t>政协</w:t>
      </w:r>
      <w:r>
        <w:rPr>
          <w:rFonts w:hint="default" w:ascii="Times New Roman" w:hAnsi="Times New Roman" w:eastAsia="仿宋_GB2312" w:cs="Times New Roman"/>
          <w:lang w:val="en-US" w:eastAsia="zh-CN"/>
        </w:rPr>
        <w:t>办公室属一级预算单位，无下属二级预算单位。</w:t>
      </w:r>
      <w:bookmarkEnd w:id="120"/>
    </w:p>
    <w:p>
      <w:pPr>
        <w:spacing w:line="592" w:lineRule="exact"/>
        <w:ind w:firstLine="643" w:firstLineChars="200"/>
        <w:rPr>
          <w:rFonts w:hint="default" w:ascii="Times New Roman" w:hAnsi="Times New Roman" w:eastAsia="楷体" w:cs="Times New Roman"/>
          <w:b/>
          <w:bCs/>
        </w:rPr>
      </w:pPr>
      <w:r>
        <w:rPr>
          <w:rFonts w:hint="default" w:ascii="Times New Roman" w:hAnsi="Times New Roman" w:eastAsia="楷体" w:cs="Times New Roman"/>
          <w:b/>
          <w:bCs/>
        </w:rPr>
        <w:t>（二）机构职能</w:t>
      </w:r>
    </w:p>
    <w:p>
      <w:pPr>
        <w:pStyle w:val="5"/>
        <w:adjustRightInd w:val="0"/>
        <w:snapToGrid w:val="0"/>
        <w:spacing w:before="93" w:line="592" w:lineRule="exact"/>
        <w:ind w:firstLine="640" w:firstLineChars="200"/>
        <w:rPr>
          <w:rFonts w:hint="default" w:ascii="Times New Roman" w:hAnsi="Times New Roman" w:cs="Times New Roman"/>
        </w:rPr>
      </w:pPr>
      <w:r>
        <w:rPr>
          <w:rStyle w:val="17"/>
          <w:rFonts w:hint="default" w:ascii="Times New Roman" w:hAnsi="Times New Roman" w:cs="Times New Roman"/>
        </w:rPr>
        <w:t>自贡市政协办公室是政协自贡市委员会的办事机构，承担为市政协履行政治协商、民主监督、参政议政职能服务的各项工作。主要负责政协自贡市委员会全体会议、常务委员会会议、主席会议和其他重要会议的会务工作；组织实施政协自贡市委员会全体会议、常务委员会会议、主席会议决议和决定；负责委员视察、调查、座谈、研讨、咨询服务等活动以及专门委员会开展活动的组织、联系、文秘等工作；负责市政协的信息工作；负责与区县政协和市委、市人大常委会、市政府有关部门的联系工作；负责市政协开展活动的后勤保障工作；负责权限范围内的人事任免、机构调整和人员编制的使用工作；承办省、市政协领导交办的其他事项。</w:t>
      </w:r>
    </w:p>
    <w:p>
      <w:pPr>
        <w:spacing w:line="592" w:lineRule="exact"/>
        <w:ind w:firstLine="643" w:firstLineChars="200"/>
        <w:rPr>
          <w:rFonts w:hint="default" w:ascii="Times New Roman" w:hAnsi="Times New Roman" w:eastAsia="楷体" w:cs="Times New Roman"/>
          <w:b/>
          <w:bCs/>
        </w:rPr>
      </w:pPr>
      <w:r>
        <w:rPr>
          <w:rFonts w:hint="default" w:ascii="Times New Roman" w:hAnsi="Times New Roman" w:eastAsia="楷体" w:cs="Times New Roman"/>
          <w:b/>
          <w:bCs/>
        </w:rPr>
        <w:t>（三）人员概况</w:t>
      </w:r>
    </w:p>
    <w:p>
      <w:pPr>
        <w:spacing w:line="560" w:lineRule="exact"/>
        <w:ind w:firstLine="640" w:firstLineChars="200"/>
        <w:rPr>
          <w:rFonts w:hint="default" w:ascii="Times New Roman" w:hAnsi="Times New Roman" w:cs="Times New Roman"/>
          <w:szCs w:val="32"/>
        </w:rPr>
      </w:pPr>
      <w:r>
        <w:rPr>
          <w:rFonts w:hint="default" w:ascii="Times New Roman" w:hAnsi="Times New Roman" w:cs="Times New Roman"/>
          <w:szCs w:val="32"/>
        </w:rPr>
        <w:t>机关核定编制76名，其中行政编制57名，事业编制6名，工勤编制13名。2020年末，机关实有在职人数69人。2021年机关在职人员变动情况：新调入行政人员3人、调入事业人员2人，安置军转士官1人，调出行政人员2人，2021年年末一般公共预算财政拨款实际开支在职人员73人，其中行政58人，行政工勤13人、事业2人。需要说明的情况：机关在职行政58人中含市纪委监委派驻市政协机关纪检监察组4人，该4人不占市政协办公室行政编制。2020年末机关实有离休人员5人。2021年机关离休人员变动情况：去世2人。2021年年末一般公共预算财政拨款实际开支离休人员3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黑体" w:cs="Times New Roman"/>
        </w:rPr>
      </w:pPr>
      <w:bookmarkStart w:id="121" w:name="_Toc19986"/>
      <w:bookmarkStart w:id="122" w:name="_Toc12397"/>
      <w:r>
        <w:rPr>
          <w:rFonts w:hint="default" w:ascii="Times New Roman" w:hAnsi="Times New Roman" w:eastAsia="黑体" w:cs="Times New Roman"/>
        </w:rPr>
        <w:t>二、部门财政资金收支情况</w:t>
      </w:r>
      <w:bookmarkEnd w:id="121"/>
      <w:bookmarkEnd w:id="122"/>
    </w:p>
    <w:p>
      <w:pPr>
        <w:spacing w:line="592" w:lineRule="exact"/>
        <w:ind w:firstLine="643" w:firstLineChars="200"/>
        <w:rPr>
          <w:rFonts w:hint="default" w:ascii="Times New Roman" w:hAnsi="Times New Roman" w:eastAsia="楷体" w:cs="Times New Roman"/>
          <w:b/>
          <w:bCs/>
        </w:rPr>
      </w:pPr>
      <w:r>
        <w:rPr>
          <w:rFonts w:hint="default" w:ascii="Times New Roman" w:hAnsi="Times New Roman" w:eastAsia="楷体" w:cs="Times New Roman"/>
          <w:b/>
          <w:bCs/>
        </w:rPr>
        <w:t>（一）部门财政资金收入情况</w:t>
      </w:r>
    </w:p>
    <w:p>
      <w:pPr>
        <w:snapToGrid w:val="0"/>
        <w:spacing w:line="560" w:lineRule="exact"/>
        <w:ind w:firstLine="640" w:firstLineChars="200"/>
        <w:rPr>
          <w:rFonts w:hint="default" w:ascii="Times New Roman" w:hAnsi="Times New Roman" w:cs="Times New Roman"/>
          <w:highlight w:val="none"/>
        </w:rPr>
      </w:pPr>
      <w:r>
        <w:rPr>
          <w:rFonts w:hint="default" w:ascii="Times New Roman" w:hAnsi="Times New Roman" w:cs="Times New Roman"/>
          <w:szCs w:val="32"/>
        </w:rPr>
        <w:t>2021年年初财政预算安排收入1785.80万元，较上年增加76.82万元，增长4.50%</w:t>
      </w:r>
      <w:r>
        <w:rPr>
          <w:rFonts w:hint="default" w:ascii="Times New Roman" w:hAnsi="Times New Roman" w:cs="Times New Roman"/>
          <w:szCs w:val="32"/>
          <w:lang w:eastAsia="zh-CN"/>
        </w:rPr>
        <w:t>，均为一般公共预算财政拨款</w:t>
      </w:r>
      <w:r>
        <w:rPr>
          <w:rFonts w:hint="default" w:ascii="Times New Roman" w:hAnsi="Times New Roman" w:cs="Times New Roman"/>
          <w:szCs w:val="32"/>
          <w:highlight w:val="none"/>
          <w:lang w:eastAsia="zh-CN"/>
        </w:rPr>
        <w:t>收入</w:t>
      </w:r>
      <w:r>
        <w:rPr>
          <w:rFonts w:hint="default" w:ascii="Times New Roman" w:hAnsi="Times New Roman" w:cs="Times New Roman"/>
          <w:szCs w:val="32"/>
          <w:lang w:val="en-US" w:eastAsia="zh-CN"/>
        </w:rPr>
        <w:t>。</w:t>
      </w:r>
      <w:r>
        <w:rPr>
          <w:rFonts w:hint="default" w:ascii="Times New Roman" w:hAnsi="Times New Roman" w:cs="Times New Roman"/>
          <w:szCs w:val="32"/>
        </w:rPr>
        <w:t>由于年中人员调整，在职职工调资、目标奖清算后引起的人员经费增加，追加退休人员一次性慰问金、退休“中人”一次性退休补贴、离退休职工抚恤支出以及追加调剂安排的办公经费等因素影响，2021年实际安排收入2480.86万元，较上年增加250.52万元，增长11.23%</w:t>
      </w:r>
      <w:r>
        <w:rPr>
          <w:rFonts w:hint="default" w:ascii="Times New Roman" w:hAnsi="Times New Roman" w:cs="Times New Roman"/>
          <w:szCs w:val="32"/>
          <w:lang w:eastAsia="zh-CN"/>
        </w:rPr>
        <w:t>，其中：一</w:t>
      </w:r>
      <w:r>
        <w:rPr>
          <w:rFonts w:hint="default" w:ascii="Times New Roman" w:hAnsi="Times New Roman" w:cs="Times New Roman"/>
          <w:szCs w:val="32"/>
          <w:highlight w:val="none"/>
          <w:lang w:eastAsia="zh-CN"/>
        </w:rPr>
        <w:t>般公共预算财政拨款收入</w:t>
      </w:r>
      <w:r>
        <w:rPr>
          <w:rFonts w:hint="default" w:ascii="Times New Roman" w:hAnsi="Times New Roman" w:cs="Times New Roman"/>
          <w:szCs w:val="32"/>
          <w:highlight w:val="none"/>
          <w:lang w:val="en-US" w:eastAsia="zh-CN"/>
        </w:rPr>
        <w:t>2478.16万元</w:t>
      </w:r>
      <w:r>
        <w:rPr>
          <w:rFonts w:hint="default" w:ascii="Times New Roman" w:hAnsi="Times New Roman" w:cs="Times New Roman"/>
          <w:szCs w:val="32"/>
          <w:highlight w:val="none"/>
        </w:rPr>
        <w:t>。</w:t>
      </w:r>
    </w:p>
    <w:p>
      <w:pPr>
        <w:spacing w:line="592" w:lineRule="exact"/>
        <w:ind w:firstLine="643" w:firstLineChars="200"/>
        <w:rPr>
          <w:rFonts w:hint="default" w:ascii="Times New Roman" w:hAnsi="Times New Roman" w:eastAsia="楷体" w:cs="Times New Roman"/>
          <w:b/>
          <w:bCs/>
        </w:rPr>
      </w:pPr>
      <w:r>
        <w:rPr>
          <w:rFonts w:hint="default" w:ascii="Times New Roman" w:hAnsi="Times New Roman" w:eastAsia="楷体" w:cs="Times New Roman"/>
          <w:b/>
          <w:bCs/>
        </w:rPr>
        <w:t>（二）部门财政资金支出情况</w:t>
      </w:r>
    </w:p>
    <w:p>
      <w:pPr>
        <w:snapToGrid w:val="0"/>
        <w:spacing w:line="560" w:lineRule="exact"/>
        <w:ind w:firstLine="640" w:firstLineChars="200"/>
        <w:rPr>
          <w:rFonts w:hint="default" w:ascii="Times New Roman" w:hAnsi="Times New Roman" w:cs="Times New Roman"/>
          <w:szCs w:val="32"/>
          <w:highlight w:val="none"/>
        </w:rPr>
      </w:pPr>
      <w:r>
        <w:rPr>
          <w:rFonts w:hint="default" w:ascii="Times New Roman" w:hAnsi="Times New Roman" w:cs="Times New Roman"/>
          <w:szCs w:val="32"/>
          <w:highlight w:val="none"/>
        </w:rPr>
        <w:t>2021年年初财政预算安排支出1785.80万元，较上年增加76.82万元，增长4.50%</w:t>
      </w:r>
      <w:r>
        <w:rPr>
          <w:rFonts w:hint="default" w:ascii="Times New Roman" w:hAnsi="Times New Roman" w:cs="Times New Roman"/>
          <w:szCs w:val="32"/>
          <w:highlight w:val="none"/>
          <w:lang w:eastAsia="zh-CN"/>
        </w:rPr>
        <w:t>，其中：基本支出</w:t>
      </w:r>
      <w:r>
        <w:rPr>
          <w:rFonts w:hint="default" w:ascii="Times New Roman" w:hAnsi="Times New Roman" w:cs="Times New Roman"/>
          <w:szCs w:val="32"/>
          <w:highlight w:val="none"/>
          <w:lang w:val="en-US" w:eastAsia="zh-CN"/>
        </w:rPr>
        <w:t>1474.18万元，项目支出311.62万元。</w:t>
      </w:r>
      <w:r>
        <w:rPr>
          <w:rFonts w:hint="default" w:ascii="Times New Roman" w:hAnsi="Times New Roman" w:cs="Times New Roman"/>
          <w:szCs w:val="32"/>
          <w:highlight w:val="none"/>
        </w:rPr>
        <w:t>2021年实际安排支出2480.86万元，均为本年支出，较上年增加250.52万元，增长11.23%</w:t>
      </w:r>
      <w:r>
        <w:rPr>
          <w:rFonts w:hint="default" w:ascii="Times New Roman" w:hAnsi="Times New Roman" w:cs="Times New Roman"/>
          <w:szCs w:val="32"/>
          <w:highlight w:val="none"/>
          <w:lang w:eastAsia="zh-CN"/>
        </w:rPr>
        <w:t>，其中：基本支出</w:t>
      </w:r>
      <w:r>
        <w:rPr>
          <w:rFonts w:hint="default" w:ascii="Times New Roman" w:hAnsi="Times New Roman" w:cs="Times New Roman"/>
          <w:szCs w:val="32"/>
          <w:highlight w:val="none"/>
          <w:lang w:val="en-US" w:eastAsia="zh-CN"/>
        </w:rPr>
        <w:t>2059.43万元（人员经费1657.52万元、日常公用经费401.91万元），项目支出421.43万元。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黑体" w:cs="Times New Roman"/>
        </w:rPr>
      </w:pPr>
      <w:bookmarkStart w:id="123" w:name="_Toc7996"/>
      <w:bookmarkStart w:id="124" w:name="_Toc29857"/>
      <w:r>
        <w:rPr>
          <w:rFonts w:hint="default" w:ascii="Times New Roman" w:hAnsi="Times New Roman" w:eastAsia="黑体" w:cs="Times New Roman"/>
        </w:rPr>
        <w:t>三、部门整体预算绩效管理情况</w:t>
      </w:r>
      <w:bookmarkEnd w:id="123"/>
      <w:bookmarkEnd w:id="124"/>
    </w:p>
    <w:p>
      <w:pPr>
        <w:spacing w:line="592" w:lineRule="exact"/>
        <w:ind w:firstLine="643" w:firstLineChars="200"/>
        <w:rPr>
          <w:rFonts w:hint="default" w:ascii="Times New Roman" w:hAnsi="Times New Roman" w:eastAsia="楷体" w:cs="Times New Roman"/>
          <w:b/>
          <w:bCs/>
          <w:lang w:eastAsia="zh-CN"/>
        </w:rPr>
      </w:pPr>
      <w:r>
        <w:rPr>
          <w:rFonts w:hint="default" w:ascii="Times New Roman" w:hAnsi="Times New Roman" w:eastAsia="楷体" w:cs="Times New Roman"/>
          <w:b/>
          <w:bCs/>
        </w:rPr>
        <w:t>（一）</w:t>
      </w:r>
      <w:r>
        <w:rPr>
          <w:rFonts w:hint="default" w:ascii="Times New Roman" w:hAnsi="Times New Roman" w:eastAsia="楷体" w:cs="Times New Roman"/>
          <w:b/>
          <w:bCs/>
          <w:lang w:eastAsia="zh-CN"/>
        </w:rPr>
        <w:t>部门预算项目绩效管理</w:t>
      </w:r>
    </w:p>
    <w:p>
      <w:pPr>
        <w:spacing w:line="560" w:lineRule="exact"/>
        <w:ind w:firstLine="643" w:firstLineChars="200"/>
        <w:rPr>
          <w:rFonts w:hint="default" w:ascii="Times New Roman" w:hAnsi="Times New Roman" w:eastAsia="仿宋_GB2312" w:cs="Times New Roman"/>
          <w:b/>
          <w:bCs/>
          <w:kern w:val="0"/>
          <w:sz w:val="32"/>
          <w:szCs w:val="32"/>
          <w:lang w:eastAsia="zh-CN"/>
        </w:rPr>
      </w:pPr>
      <w:r>
        <w:rPr>
          <w:rFonts w:hint="default" w:ascii="Times New Roman" w:hAnsi="Times New Roman" w:eastAsia="仿宋_GB2312" w:cs="Times New Roman"/>
          <w:b/>
          <w:bCs/>
          <w:kern w:val="0"/>
          <w:sz w:val="32"/>
          <w:szCs w:val="32"/>
          <w:lang w:val="en-US" w:eastAsia="zh-CN"/>
        </w:rPr>
        <w:t>1、预算编制和</w:t>
      </w:r>
      <w:r>
        <w:rPr>
          <w:rFonts w:hint="default" w:ascii="Times New Roman" w:hAnsi="Times New Roman" w:eastAsia="仿宋_GB2312" w:cs="Times New Roman"/>
          <w:b/>
          <w:bCs/>
          <w:kern w:val="0"/>
          <w:sz w:val="32"/>
          <w:szCs w:val="32"/>
          <w:lang w:eastAsia="zh-CN"/>
        </w:rPr>
        <w:t>目标制定方面</w:t>
      </w:r>
    </w:p>
    <w:p>
      <w:pPr>
        <w:spacing w:line="560" w:lineRule="exact"/>
        <w:ind w:firstLine="640" w:firstLineChars="200"/>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cs="Times New Roman"/>
          <w:kern w:val="0"/>
          <w:sz w:val="32"/>
          <w:szCs w:val="32"/>
          <w:lang w:eastAsia="zh-CN"/>
        </w:rPr>
        <w:t>市政协办公室</w:t>
      </w:r>
      <w:r>
        <w:rPr>
          <w:rFonts w:hint="default" w:ascii="Times New Roman" w:hAnsi="Times New Roman" w:eastAsia="仿宋_GB2312" w:cs="Times New Roman"/>
          <w:bCs/>
          <w:sz w:val="32"/>
          <w:szCs w:val="32"/>
        </w:rPr>
        <w:t>围绕市政协2021年重点工作安排，</w:t>
      </w:r>
      <w:r>
        <w:rPr>
          <w:rFonts w:hint="default" w:ascii="Times New Roman" w:hAnsi="Times New Roman" w:eastAsia="仿宋_GB2312" w:cs="Times New Roman"/>
          <w:sz w:val="32"/>
          <w:szCs w:val="32"/>
        </w:rPr>
        <w:t>以部门预算编制口径和常年专项控制数为基础，综合</w:t>
      </w:r>
      <w:r>
        <w:rPr>
          <w:rFonts w:hint="default" w:ascii="Times New Roman" w:hAnsi="Times New Roman" w:eastAsia="仿宋_GB2312" w:cs="Times New Roman"/>
          <w:kern w:val="0"/>
          <w:sz w:val="32"/>
          <w:szCs w:val="32"/>
        </w:rPr>
        <w:t>考虑年度执行增减变动因素</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编制了年初部门预算。</w:t>
      </w:r>
      <w:r>
        <w:rPr>
          <w:rFonts w:hint="default" w:ascii="Times New Roman" w:hAnsi="Times New Roman" w:eastAsia="仿宋_GB2312" w:cs="Times New Roman"/>
          <w:kern w:val="0"/>
          <w:sz w:val="32"/>
          <w:szCs w:val="32"/>
        </w:rPr>
        <w:t>从经费测算、使用范围、完成数量、完成时效以及预期达到的社会</w:t>
      </w:r>
      <w:r>
        <w:rPr>
          <w:rFonts w:hint="default" w:ascii="Times New Roman" w:hAnsi="Times New Roman" w:eastAsia="仿宋_GB2312" w:cs="Times New Roman"/>
          <w:color w:val="auto"/>
          <w:kern w:val="0"/>
          <w:sz w:val="32"/>
          <w:szCs w:val="32"/>
        </w:rPr>
        <w:t>效益和经济效益等方面</w:t>
      </w:r>
      <w:r>
        <w:rPr>
          <w:rFonts w:hint="default" w:ascii="Times New Roman" w:hAnsi="Times New Roman" w:cs="Times New Roman"/>
          <w:color w:val="auto"/>
          <w:kern w:val="0"/>
          <w:sz w:val="32"/>
          <w:szCs w:val="32"/>
          <w:lang w:eastAsia="zh-CN"/>
        </w:rPr>
        <w:t>编制</w:t>
      </w:r>
      <w:r>
        <w:rPr>
          <w:rFonts w:hint="default" w:ascii="Times New Roman" w:hAnsi="Times New Roman" w:eastAsia="仿宋_GB2312" w:cs="Times New Roman"/>
          <w:color w:val="auto"/>
          <w:kern w:val="0"/>
          <w:sz w:val="32"/>
          <w:szCs w:val="32"/>
        </w:rPr>
        <w:t>了</w:t>
      </w:r>
      <w:r>
        <w:rPr>
          <w:rFonts w:hint="default" w:ascii="Times New Roman" w:hAnsi="Times New Roman" w:cs="Times New Roman"/>
          <w:color w:val="auto"/>
          <w:kern w:val="0"/>
          <w:sz w:val="32"/>
          <w:szCs w:val="32"/>
          <w:lang w:eastAsia="zh-CN"/>
        </w:rPr>
        <w:t>项目</w:t>
      </w:r>
      <w:r>
        <w:rPr>
          <w:rFonts w:hint="default" w:ascii="Times New Roman" w:hAnsi="Times New Roman" w:eastAsia="仿宋_GB2312" w:cs="Times New Roman"/>
          <w:color w:val="auto"/>
          <w:kern w:val="0"/>
          <w:sz w:val="32"/>
          <w:szCs w:val="32"/>
        </w:rPr>
        <w:t>绩效目标</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i w:val="0"/>
          <w:iCs w:val="0"/>
          <w:caps w:val="0"/>
          <w:color w:val="auto"/>
          <w:spacing w:val="0"/>
          <w:sz w:val="32"/>
          <w:szCs w:val="32"/>
          <w:shd w:val="clear" w:fill="FFFFFF"/>
        </w:rPr>
        <w:t>绩效目标填报详细，目标任务制定与国家政策法规、部门职责、部门中长期规划相符，全面反映了部门目标任务完成和预期效益情况，财政资源配置合理。</w:t>
      </w:r>
    </w:p>
    <w:p>
      <w:pPr>
        <w:numPr>
          <w:ilvl w:val="0"/>
          <w:numId w:val="0"/>
        </w:numPr>
        <w:spacing w:line="560" w:lineRule="exact"/>
        <w:ind w:firstLine="643" w:firstLineChars="200"/>
        <w:rPr>
          <w:rFonts w:hint="default" w:ascii="Times New Roman" w:hAnsi="Times New Roman" w:cs="Times New Roman"/>
          <w:b/>
          <w:bCs/>
          <w:kern w:val="0"/>
          <w:lang w:eastAsia="zh-CN"/>
        </w:rPr>
      </w:pPr>
      <w:r>
        <w:rPr>
          <w:rFonts w:hint="default" w:ascii="Times New Roman" w:hAnsi="Times New Roman" w:cs="Times New Roman"/>
          <w:b/>
          <w:bCs/>
          <w:kern w:val="0"/>
          <w:lang w:val="en-US" w:eastAsia="zh-CN"/>
        </w:rPr>
        <w:t>2、</w:t>
      </w:r>
      <w:r>
        <w:rPr>
          <w:rFonts w:hint="default" w:ascii="Times New Roman" w:hAnsi="Times New Roman" w:cs="Times New Roman"/>
          <w:b/>
          <w:bCs/>
          <w:kern w:val="0"/>
          <w:lang w:eastAsia="zh-CN"/>
        </w:rPr>
        <w:t>执行管理方面</w:t>
      </w:r>
    </w:p>
    <w:p>
      <w:pPr>
        <w:numPr>
          <w:ilvl w:val="0"/>
          <w:numId w:val="0"/>
        </w:numPr>
        <w:spacing w:line="560" w:lineRule="exact"/>
        <w:ind w:firstLine="640" w:firstLineChars="200"/>
        <w:rPr>
          <w:rFonts w:hint="default" w:ascii="Times New Roman" w:hAnsi="Times New Roman" w:eastAsia="仿宋_GB2312" w:cs="Times New Roman"/>
          <w:bCs/>
          <w:szCs w:val="32"/>
          <w:lang w:eastAsia="zh-CN"/>
        </w:rPr>
      </w:pPr>
      <w:r>
        <w:rPr>
          <w:rFonts w:hint="default" w:ascii="Times New Roman" w:hAnsi="Times New Roman" w:cs="Times New Roman"/>
          <w:kern w:val="0"/>
          <w:lang w:eastAsia="zh-CN"/>
        </w:rPr>
        <w:t>市政协办公室</w:t>
      </w:r>
      <w:r>
        <w:rPr>
          <w:rFonts w:hint="default" w:ascii="Times New Roman" w:hAnsi="Times New Roman" w:cs="Times New Roman"/>
          <w:kern w:val="0"/>
          <w:lang w:val="en-US" w:eastAsia="zh-CN"/>
        </w:rPr>
        <w:t>2021年预算执行方面</w:t>
      </w:r>
      <w:r>
        <w:rPr>
          <w:rFonts w:hint="default" w:ascii="Times New Roman" w:hAnsi="Times New Roman" w:cs="Times New Roman"/>
          <w:kern w:val="0"/>
        </w:rPr>
        <w:t>认真贯彻落实中央、省、市关于厉行节约的有关要求，遵循“先预算、后支出”的原则，在执行过程中控制一般性支出，大力精简会议、考察和培训等公务活动，按照轻重缓急统筹安排资金使用</w:t>
      </w:r>
      <w:r>
        <w:rPr>
          <w:rFonts w:hint="default" w:ascii="Times New Roman" w:hAnsi="Times New Roman" w:cs="Times New Roman"/>
          <w:kern w:val="0"/>
          <w:lang w:eastAsia="zh-CN"/>
        </w:rPr>
        <w:t>。执行进度上，</w:t>
      </w:r>
      <w:r>
        <w:rPr>
          <w:rFonts w:hint="default" w:ascii="Times New Roman" w:hAnsi="Times New Roman" w:cs="Times New Roman"/>
        </w:rPr>
        <w:t>存在</w:t>
      </w:r>
      <w:r>
        <w:rPr>
          <w:rFonts w:hint="default" w:ascii="Times New Roman" w:hAnsi="Times New Roman" w:cs="Times New Roman"/>
          <w:szCs w:val="32"/>
        </w:rPr>
        <w:t>项目资金支出进度滞后的现象</w:t>
      </w:r>
      <w:r>
        <w:rPr>
          <w:rFonts w:hint="default" w:ascii="Times New Roman" w:hAnsi="Times New Roman" w:cs="Times New Roman"/>
          <w:szCs w:val="32"/>
          <w:lang w:eastAsia="zh-CN"/>
        </w:rPr>
        <w:t>，主要原因是部分委室（科）在项目完成后未及时处理有关票据，导致支出延后。从指标评价体系上看，</w:t>
      </w:r>
      <w:r>
        <w:rPr>
          <w:rFonts w:hint="default" w:ascii="Times New Roman" w:hAnsi="Times New Roman" w:cs="Times New Roman"/>
          <w:kern w:val="0"/>
          <w:lang w:eastAsia="zh-CN"/>
        </w:rPr>
        <w:t>公用经费预决算差异率为</w:t>
      </w:r>
      <w:r>
        <w:rPr>
          <w:rFonts w:hint="default" w:ascii="Times New Roman" w:hAnsi="Times New Roman" w:cs="Times New Roman"/>
          <w:kern w:val="0"/>
          <w:lang w:val="en-US" w:eastAsia="zh-CN"/>
        </w:rPr>
        <w:t>2.88%，财政拨款结转和结余率为0，机关量化评价指标得分86分，在部门预算管理方面未出现违规问题。</w:t>
      </w:r>
    </w:p>
    <w:p>
      <w:pPr>
        <w:numPr>
          <w:ilvl w:val="0"/>
          <w:numId w:val="0"/>
        </w:numPr>
        <w:spacing w:line="592" w:lineRule="exact"/>
        <w:ind w:firstLine="643" w:firstLineChars="200"/>
        <w:rPr>
          <w:rFonts w:hint="default" w:ascii="Times New Roman" w:hAnsi="Times New Roman" w:eastAsia="楷体" w:cs="Times New Roman"/>
          <w:b/>
          <w:bCs/>
          <w:highlight w:val="none"/>
          <w:lang w:eastAsia="zh-CN"/>
        </w:rPr>
      </w:pPr>
      <w:r>
        <w:rPr>
          <w:rFonts w:hint="default" w:ascii="Times New Roman" w:hAnsi="Times New Roman" w:eastAsia="楷体" w:cs="Times New Roman"/>
          <w:b/>
          <w:bCs/>
          <w:highlight w:val="none"/>
          <w:lang w:eastAsia="zh-CN"/>
        </w:rPr>
        <w:t>（二）结果应用情况</w:t>
      </w:r>
    </w:p>
    <w:p>
      <w:pPr>
        <w:spacing w:line="580" w:lineRule="exact"/>
        <w:ind w:firstLine="640" w:firstLineChars="200"/>
        <w:rPr>
          <w:rFonts w:hint="default" w:ascii="Times New Roman" w:hAnsi="Times New Roman" w:eastAsia="仿宋_GB2312" w:cs="Times New Roman"/>
          <w:lang w:val="en-US" w:eastAsia="zh-CN"/>
        </w:rPr>
      </w:pPr>
      <w:r>
        <w:rPr>
          <w:rFonts w:hint="default" w:ascii="Times New Roman" w:hAnsi="Times New Roman" w:cs="Times New Roman"/>
          <w:kern w:val="0"/>
          <w:lang w:eastAsia="zh-CN"/>
        </w:rPr>
        <w:t>市政协办公室按照预算管理关于绩效目标同预算同步公开、绩效自评同决算同步公开的要求，在部门预算和部门决算批复后及时在市政府门户网站和市政协网站公示公告专栏公开，主动接受社会监督。按照自贡市财政局统一部署和要求，组织开展了</w:t>
      </w:r>
      <w:r>
        <w:rPr>
          <w:rFonts w:hint="default" w:ascii="Times New Roman" w:hAnsi="Times New Roman" w:cs="Times New Roman"/>
          <w:kern w:val="0"/>
          <w:lang w:val="en-US" w:eastAsia="zh-CN"/>
        </w:rPr>
        <w:t>2020年部门整体支出绩效自评，并选取个别项目开展了项目支出绩效评价，评价结果均按要求及时向社会公开，同时根据绩效评价结果，结合市政协工作职能职责和特点，积极整改问题、完善政策、改进管理，并按照相关要求，及时将部门预算支出绩效应用结果反馈给自贡市财政局。</w:t>
      </w:r>
    </w:p>
    <w:p>
      <w:pPr>
        <w:adjustRightInd w:val="0"/>
        <w:snapToGrid w:val="0"/>
        <w:spacing w:line="592" w:lineRule="exact"/>
        <w:ind w:firstLine="643" w:firstLineChars="200"/>
        <w:jc w:val="left"/>
        <w:rPr>
          <w:rFonts w:hint="default" w:ascii="Times New Roman" w:hAnsi="Times New Roman" w:eastAsia="楷体" w:cs="Times New Roman"/>
          <w:b/>
          <w:bCs/>
          <w:kern w:val="0"/>
          <w:lang w:eastAsia="zh-CN"/>
        </w:rPr>
      </w:pPr>
      <w:r>
        <w:rPr>
          <w:rFonts w:hint="default" w:ascii="Times New Roman" w:hAnsi="Times New Roman" w:eastAsia="楷体" w:cs="Times New Roman"/>
          <w:b/>
          <w:bCs/>
          <w:kern w:val="0"/>
        </w:rPr>
        <w:t>（三）</w:t>
      </w:r>
      <w:r>
        <w:rPr>
          <w:rFonts w:hint="default" w:ascii="Times New Roman" w:hAnsi="Times New Roman" w:eastAsia="楷体" w:cs="Times New Roman"/>
          <w:b/>
          <w:bCs/>
          <w:kern w:val="0"/>
          <w:lang w:eastAsia="zh-CN"/>
        </w:rPr>
        <w:t>自评质量</w:t>
      </w:r>
    </w:p>
    <w:p>
      <w:pPr>
        <w:spacing w:line="592" w:lineRule="exact"/>
        <w:ind w:firstLine="640" w:firstLineChars="200"/>
        <w:rPr>
          <w:rFonts w:hint="default" w:ascii="Times New Roman" w:hAnsi="Times New Roman" w:cs="Times New Roman"/>
          <w:kern w:val="0"/>
          <w:lang w:val="en-US" w:eastAsia="zh-CN"/>
        </w:rPr>
      </w:pPr>
      <w:r>
        <w:rPr>
          <w:rFonts w:hint="default" w:ascii="Times New Roman" w:hAnsi="Times New Roman" w:cs="Times New Roman"/>
          <w:kern w:val="0"/>
          <w:lang w:eastAsia="zh-CN"/>
        </w:rPr>
        <w:t>按照自贡市财政局统一部署和要求，自贡市政协办公室</w:t>
      </w:r>
      <w:r>
        <w:rPr>
          <w:rFonts w:hint="default" w:ascii="Times New Roman" w:hAnsi="Times New Roman" w:cs="Times New Roman"/>
          <w:kern w:val="0"/>
          <w:lang w:val="en-US" w:eastAsia="zh-CN"/>
        </w:rPr>
        <w:t>组织开展了2020年部门整体支出绩效评价，自评得分较为准确，自评质量较高。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黑体" w:cs="Times New Roman"/>
        </w:rPr>
      </w:pPr>
      <w:bookmarkStart w:id="125" w:name="_Toc4413"/>
      <w:bookmarkStart w:id="126" w:name="_Toc18244"/>
      <w:r>
        <w:rPr>
          <w:rFonts w:hint="default" w:ascii="Times New Roman" w:hAnsi="Times New Roman" w:eastAsia="黑体" w:cs="Times New Roman"/>
        </w:rPr>
        <w:t>四、评价结论及建议</w:t>
      </w:r>
      <w:bookmarkEnd w:id="125"/>
      <w:bookmarkEnd w:id="126"/>
    </w:p>
    <w:p>
      <w:pPr>
        <w:spacing w:line="592" w:lineRule="exact"/>
        <w:ind w:firstLine="643" w:firstLineChars="200"/>
        <w:rPr>
          <w:rFonts w:hint="default" w:ascii="Times New Roman" w:hAnsi="Times New Roman" w:eastAsia="楷体" w:cs="Times New Roman"/>
          <w:b/>
          <w:bCs/>
        </w:rPr>
      </w:pPr>
      <w:r>
        <w:rPr>
          <w:rFonts w:hint="default" w:ascii="Times New Roman" w:hAnsi="Times New Roman" w:eastAsia="楷体" w:cs="Times New Roman"/>
          <w:b/>
          <w:bCs/>
        </w:rPr>
        <w:t>（一）评价结论</w:t>
      </w:r>
    </w:p>
    <w:p>
      <w:pPr>
        <w:spacing w:line="560" w:lineRule="exact"/>
        <w:ind w:firstLine="640" w:firstLineChars="200"/>
        <w:rPr>
          <w:rFonts w:hint="default" w:ascii="Times New Roman" w:hAnsi="Times New Roman" w:cs="Times New Roman"/>
          <w:szCs w:val="32"/>
        </w:rPr>
      </w:pPr>
      <w:r>
        <w:rPr>
          <w:rFonts w:hint="default" w:ascii="Times New Roman" w:hAnsi="Times New Roman" w:cs="Times New Roman"/>
          <w:kern w:val="0"/>
          <w:szCs w:val="32"/>
        </w:rPr>
        <w:t>按照</w:t>
      </w:r>
      <w:r>
        <w:rPr>
          <w:rFonts w:hint="default" w:ascii="Times New Roman" w:hAnsi="Times New Roman" w:cs="Times New Roman"/>
          <w:kern w:val="0"/>
          <w:szCs w:val="32"/>
          <w:lang w:eastAsia="zh-CN"/>
        </w:rPr>
        <w:t>《</w:t>
      </w:r>
      <w:r>
        <w:rPr>
          <w:rFonts w:hint="default" w:ascii="Times New Roman" w:hAnsi="Times New Roman" w:cs="Times New Roman"/>
          <w:kern w:val="0"/>
          <w:szCs w:val="32"/>
        </w:rPr>
        <w:t>市级部门整体支出绩效评价指标体系</w:t>
      </w:r>
      <w:r>
        <w:rPr>
          <w:rFonts w:hint="default" w:ascii="Times New Roman" w:hAnsi="Times New Roman" w:cs="Times New Roman"/>
          <w:kern w:val="0"/>
          <w:szCs w:val="32"/>
          <w:lang w:eastAsia="zh-CN"/>
        </w:rPr>
        <w:t>》</w:t>
      </w:r>
      <w:r>
        <w:rPr>
          <w:rFonts w:hint="default" w:ascii="Times New Roman" w:hAnsi="Times New Roman" w:cs="Times New Roman"/>
          <w:kern w:val="0"/>
          <w:szCs w:val="32"/>
        </w:rPr>
        <w:t>的规定，自贡市政协办公室整体支出绩效评价自评</w:t>
      </w:r>
      <w:r>
        <w:rPr>
          <w:rFonts w:hint="default" w:ascii="Times New Roman" w:hAnsi="Times New Roman" w:cs="Times New Roman"/>
          <w:kern w:val="0"/>
          <w:szCs w:val="32"/>
          <w:lang w:eastAsia="zh-CN"/>
        </w:rPr>
        <w:t>得分</w:t>
      </w:r>
      <w:r>
        <w:rPr>
          <w:rFonts w:hint="default" w:ascii="Times New Roman" w:hAnsi="Times New Roman" w:cs="Times New Roman"/>
          <w:kern w:val="0"/>
          <w:szCs w:val="32"/>
        </w:rPr>
        <w:t>96.82分</w:t>
      </w:r>
      <w:r>
        <w:rPr>
          <w:rFonts w:hint="default" w:ascii="Times New Roman" w:hAnsi="Times New Roman" w:cs="Times New Roman"/>
          <w:kern w:val="0"/>
          <w:szCs w:val="32"/>
          <w:lang w:eastAsia="zh-CN"/>
        </w:rPr>
        <w:t>。从自评情况来看，</w:t>
      </w:r>
      <w:r>
        <w:rPr>
          <w:rFonts w:hint="default" w:ascii="Times New Roman" w:hAnsi="Times New Roman" w:cs="Times New Roman"/>
          <w:szCs w:val="32"/>
        </w:rPr>
        <w:t>预算编制较为</w:t>
      </w:r>
      <w:r>
        <w:rPr>
          <w:rFonts w:hint="default" w:ascii="Times New Roman" w:hAnsi="Times New Roman" w:cs="Times New Roman"/>
          <w:szCs w:val="32"/>
          <w:lang w:eastAsia="zh-CN"/>
        </w:rPr>
        <w:t>合理</w:t>
      </w:r>
      <w:r>
        <w:rPr>
          <w:rFonts w:hint="default" w:ascii="Times New Roman" w:hAnsi="Times New Roman" w:cs="Times New Roman"/>
          <w:szCs w:val="32"/>
        </w:rPr>
        <w:t>，基本支出执行进度相对均衡，执行管理情况良好，保证了机关的正常运转及日常工作的顺利开展；项目支出的执行进度良好，保障了全年重点调研视察及各项履职工作的正常开展，充分发挥了财政资金的经济效益和社会效益，达到了预期绩效目标。</w:t>
      </w:r>
    </w:p>
    <w:p>
      <w:pPr>
        <w:adjustRightInd w:val="0"/>
        <w:snapToGrid w:val="0"/>
        <w:spacing w:line="592" w:lineRule="exact"/>
        <w:ind w:firstLine="643" w:firstLineChars="200"/>
        <w:jc w:val="left"/>
        <w:rPr>
          <w:rFonts w:hint="default" w:ascii="Times New Roman" w:hAnsi="Times New Roman" w:eastAsia="楷体" w:cs="Times New Roman"/>
          <w:b/>
          <w:bCs/>
        </w:rPr>
      </w:pPr>
      <w:r>
        <w:rPr>
          <w:rFonts w:hint="default" w:ascii="Times New Roman" w:hAnsi="Times New Roman" w:eastAsia="楷体" w:cs="Times New Roman"/>
          <w:b/>
          <w:bCs/>
        </w:rPr>
        <w:t>（二）存在问题</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szCs w:val="32"/>
        </w:rPr>
        <w:t>从</w:t>
      </w:r>
      <w:r>
        <w:rPr>
          <w:rFonts w:hint="default" w:ascii="Times New Roman" w:hAnsi="Times New Roman" w:cs="Times New Roman"/>
          <w:szCs w:val="32"/>
          <w:lang w:eastAsia="zh-CN"/>
        </w:rPr>
        <w:t>自评结果看</w:t>
      </w:r>
      <w:r>
        <w:rPr>
          <w:rFonts w:hint="default" w:ascii="Times New Roman" w:hAnsi="Times New Roman" w:cs="Times New Roman"/>
          <w:szCs w:val="32"/>
        </w:rPr>
        <w:t>，</w:t>
      </w:r>
      <w:r>
        <w:rPr>
          <w:rFonts w:hint="default" w:ascii="Times New Roman" w:hAnsi="Times New Roman" w:cs="Times New Roman"/>
          <w:lang w:eastAsia="zh-CN"/>
        </w:rPr>
        <w:t>在预算</w:t>
      </w:r>
      <w:r>
        <w:rPr>
          <w:rFonts w:hint="default" w:ascii="Times New Roman" w:hAnsi="Times New Roman" w:cs="Times New Roman"/>
        </w:rPr>
        <w:t>执行</w:t>
      </w:r>
      <w:r>
        <w:rPr>
          <w:rFonts w:hint="default" w:ascii="Times New Roman" w:hAnsi="Times New Roman" w:cs="Times New Roman"/>
          <w:lang w:eastAsia="zh-CN"/>
        </w:rPr>
        <w:t>过程</w:t>
      </w:r>
      <w:r>
        <w:rPr>
          <w:rFonts w:hint="default" w:ascii="Times New Roman" w:hAnsi="Times New Roman" w:cs="Times New Roman"/>
        </w:rPr>
        <w:t>中存在</w:t>
      </w:r>
      <w:r>
        <w:rPr>
          <w:rFonts w:hint="default" w:ascii="Times New Roman" w:hAnsi="Times New Roman" w:cs="Times New Roman"/>
          <w:szCs w:val="32"/>
        </w:rPr>
        <w:t>项目资金支出进度滞后的现象</w:t>
      </w:r>
      <w:r>
        <w:rPr>
          <w:rFonts w:hint="default" w:ascii="Times New Roman" w:hAnsi="Times New Roman" w:cs="Times New Roman"/>
          <w:szCs w:val="32"/>
          <w:lang w:eastAsia="zh-CN"/>
        </w:rPr>
        <w:t>，</w:t>
      </w:r>
      <w:r>
        <w:rPr>
          <w:rFonts w:hint="default" w:ascii="Times New Roman" w:hAnsi="Times New Roman" w:cs="Times New Roman"/>
          <w:szCs w:val="32"/>
        </w:rPr>
        <w:t>部分资金使用未完全一一对应到部门经济分类科目。</w:t>
      </w:r>
    </w:p>
    <w:p>
      <w:pPr>
        <w:spacing w:line="592" w:lineRule="exact"/>
        <w:ind w:firstLine="643" w:firstLineChars="200"/>
        <w:rPr>
          <w:rFonts w:hint="default" w:ascii="Times New Roman" w:hAnsi="Times New Roman" w:eastAsia="楷体" w:cs="Times New Roman"/>
          <w:b/>
          <w:bCs/>
        </w:rPr>
      </w:pPr>
      <w:r>
        <w:rPr>
          <w:rFonts w:hint="default" w:ascii="Times New Roman" w:hAnsi="Times New Roman" w:eastAsia="楷体" w:cs="Times New Roman"/>
          <w:b/>
          <w:bCs/>
        </w:rPr>
        <w:t>（三）改进建议</w:t>
      </w:r>
    </w:p>
    <w:p>
      <w:pPr>
        <w:spacing w:line="560" w:lineRule="exact"/>
        <w:ind w:firstLine="640" w:firstLineChars="200"/>
        <w:rPr>
          <w:rFonts w:hint="default" w:ascii="Times New Roman" w:hAnsi="Times New Roman" w:cs="Times New Roman"/>
          <w:kern w:val="0"/>
        </w:rPr>
      </w:pPr>
      <w:r>
        <w:rPr>
          <w:rFonts w:hint="default" w:ascii="Times New Roman" w:hAnsi="Times New Roman" w:cs="Times New Roman"/>
          <w:kern w:val="0"/>
        </w:rPr>
        <w:t>1.</w:t>
      </w:r>
      <w:r>
        <w:rPr>
          <w:rFonts w:hint="default" w:ascii="Times New Roman" w:hAnsi="Times New Roman" w:cs="Times New Roman"/>
        </w:rPr>
        <w:t>加强学习，提高业务素质。多形式、多渠道加大财务人员预算绩效管理基础理论和实务操作培训力度，提高单位的绩效管理水平。</w:t>
      </w:r>
    </w:p>
    <w:p>
      <w:pPr>
        <w:spacing w:line="560" w:lineRule="exact"/>
        <w:ind w:firstLine="640" w:firstLineChars="200"/>
        <w:rPr>
          <w:rFonts w:hint="default" w:ascii="Times New Roman" w:hAnsi="Times New Roman" w:cs="Times New Roman"/>
          <w:szCs w:val="32"/>
        </w:rPr>
      </w:pPr>
      <w:r>
        <w:rPr>
          <w:rFonts w:hint="default" w:ascii="Times New Roman" w:hAnsi="Times New Roman" w:cs="Times New Roman"/>
          <w:kern w:val="0"/>
        </w:rPr>
        <w:t>2.针对</w:t>
      </w:r>
      <w:r>
        <w:rPr>
          <w:rFonts w:hint="default" w:ascii="Times New Roman" w:hAnsi="Times New Roman" w:cs="Times New Roman"/>
          <w:szCs w:val="32"/>
        </w:rPr>
        <w:t>项目资金支出进度不均衡</w:t>
      </w:r>
      <w:r>
        <w:rPr>
          <w:rFonts w:hint="default" w:ascii="Times New Roman" w:hAnsi="Times New Roman" w:cs="Times New Roman"/>
          <w:kern w:val="0"/>
        </w:rPr>
        <w:t>问题，</w:t>
      </w:r>
      <w:r>
        <w:rPr>
          <w:rFonts w:hint="default" w:ascii="Times New Roman" w:hAnsi="Times New Roman" w:cs="Times New Roman"/>
          <w:szCs w:val="32"/>
        </w:rPr>
        <w:t>在今后的工作中，将继续加大资金绩效管理力度，督促各资金使用委（室）、科严格按照工作计划及进度开展工作，并及时完善有关报销手续。</w:t>
      </w:r>
    </w:p>
    <w:p>
      <w:pPr>
        <w:spacing w:line="560" w:lineRule="exact"/>
        <w:ind w:firstLine="640" w:firstLineChars="200"/>
        <w:rPr>
          <w:rFonts w:hint="default" w:ascii="Times New Roman" w:hAnsi="Times New Roman" w:cs="Times New Roman"/>
          <w:szCs w:val="32"/>
        </w:rPr>
      </w:pPr>
      <w:r>
        <w:rPr>
          <w:rFonts w:hint="default" w:ascii="Times New Roman" w:hAnsi="Times New Roman" w:cs="Times New Roman"/>
          <w:szCs w:val="32"/>
        </w:rPr>
        <w:t>3.参考以往年度决算执行情况，在充分考虑变量因素的前提下，逐步细化预算编制，降低预算支出调剂率。</w:t>
      </w:r>
    </w:p>
    <w:p>
      <w:pPr>
        <w:spacing w:line="580" w:lineRule="exact"/>
        <w:rPr>
          <w:rFonts w:hint="default" w:ascii="Times New Roman" w:hAnsi="Times New Roman" w:cs="Times New Roman"/>
        </w:rPr>
      </w:pPr>
    </w:p>
    <w:p>
      <w:pPr>
        <w:pStyle w:val="11"/>
        <w:outlineLvl w:val="9"/>
        <w:rPr>
          <w:rFonts w:hint="default" w:ascii="Times New Roman" w:hAnsi="Times New Roman" w:cs="Times New Roman"/>
        </w:rPr>
      </w:pPr>
    </w:p>
    <w:p>
      <w:pPr>
        <w:rPr>
          <w:rFonts w:hint="default" w:ascii="Times New Roman" w:hAnsi="Times New Roman" w:cs="Times New Roman"/>
        </w:rPr>
      </w:pPr>
    </w:p>
    <w:p>
      <w:pPr>
        <w:pStyle w:val="11"/>
        <w:outlineLvl w:val="9"/>
        <w:rPr>
          <w:rFonts w:hint="default" w:ascii="Times New Roman" w:hAnsi="Times New Roman" w:cs="Times New Roman"/>
        </w:rPr>
      </w:pPr>
    </w:p>
    <w:p>
      <w:pPr>
        <w:pStyle w:val="11"/>
        <w:jc w:val="both"/>
        <w:outlineLvl w:val="9"/>
        <w:rPr>
          <w:rFonts w:hint="default" w:ascii="Times New Roman" w:hAnsi="Times New Roman" w:cs="Times New Roman"/>
        </w:rPr>
      </w:pPr>
    </w:p>
    <w:p>
      <w:pPr>
        <w:spacing w:line="580" w:lineRule="exact"/>
        <w:outlineLvl w:val="1"/>
        <w:rPr>
          <w:rFonts w:hint="default" w:ascii="Times New Roman" w:hAnsi="Times New Roman" w:eastAsia="方正小标宋简体" w:cs="Times New Roman"/>
          <w:color w:val="000000"/>
          <w:kern w:val="0"/>
          <w:sz w:val="44"/>
          <w:szCs w:val="44"/>
          <w:lang w:val="zh-CN"/>
        </w:rPr>
      </w:pPr>
      <w:bookmarkStart w:id="127" w:name="_Toc16954"/>
      <w:bookmarkStart w:id="128" w:name="_Toc32253"/>
      <w:bookmarkStart w:id="129" w:name="_Toc5787"/>
      <w:bookmarkStart w:id="130" w:name="_Toc1119"/>
      <w:r>
        <w:rPr>
          <w:rFonts w:hint="default" w:ascii="Times New Roman" w:hAnsi="Times New Roman" w:eastAsia="黑体" w:cs="Times New Roman"/>
        </w:rPr>
        <w:t>附件2</w:t>
      </w:r>
      <w:bookmarkEnd w:id="127"/>
      <w:bookmarkEnd w:id="128"/>
      <w:bookmarkEnd w:id="129"/>
      <w:bookmarkEnd w:id="130"/>
    </w:p>
    <w:p>
      <w:pPr>
        <w:spacing w:line="580" w:lineRule="exact"/>
        <w:jc w:val="center"/>
        <w:rPr>
          <w:rFonts w:hint="default" w:ascii="Times New Roman" w:hAnsi="Times New Roman" w:eastAsia="方正小标宋简体" w:cs="Times New Roman"/>
          <w:color w:val="000000"/>
          <w:kern w:val="0"/>
          <w:sz w:val="44"/>
          <w:szCs w:val="44"/>
          <w:lang w:val="zh-CN"/>
        </w:rPr>
      </w:pPr>
      <w:r>
        <w:rPr>
          <w:rFonts w:hint="default" w:ascii="Times New Roman" w:hAnsi="Times New Roman" w:eastAsia="方正小标宋简体" w:cs="Times New Roman"/>
          <w:color w:val="000000"/>
          <w:kern w:val="0"/>
          <w:sz w:val="44"/>
          <w:szCs w:val="44"/>
          <w:lang w:val="zh-CN"/>
        </w:rPr>
        <w:t>自贡市政协办公室</w:t>
      </w:r>
    </w:p>
    <w:p>
      <w:pPr>
        <w:spacing w:line="580" w:lineRule="exact"/>
        <w:jc w:val="center"/>
        <w:rPr>
          <w:rFonts w:hint="default" w:ascii="Times New Roman" w:hAnsi="Times New Roman" w:cs="Times New Roman"/>
          <w:lang w:val="zh-CN"/>
        </w:rPr>
      </w:pPr>
      <w:r>
        <w:rPr>
          <w:rFonts w:hint="default" w:ascii="Times New Roman" w:hAnsi="Times New Roman" w:eastAsia="方正小标宋简体" w:cs="Times New Roman"/>
          <w:color w:val="000000"/>
          <w:kern w:val="0"/>
          <w:sz w:val="44"/>
          <w:szCs w:val="44"/>
          <w:lang w:val="en-US" w:eastAsia="zh-CN"/>
        </w:rPr>
        <w:t>2021年</w:t>
      </w:r>
      <w:r>
        <w:rPr>
          <w:rFonts w:hint="default" w:ascii="Times New Roman" w:hAnsi="Times New Roman" w:eastAsia="方正小标宋简体" w:cs="Times New Roman"/>
          <w:color w:val="000000"/>
          <w:kern w:val="0"/>
          <w:sz w:val="44"/>
          <w:szCs w:val="44"/>
          <w:lang w:val="zh-CN"/>
        </w:rPr>
        <w:t>项目支出绩效自评报告</w:t>
      </w:r>
    </w:p>
    <w:p>
      <w:pPr>
        <w:keepNext w:val="0"/>
        <w:keepLines w:val="0"/>
        <w:widowControl w:val="0"/>
        <w:suppressLineNumbers w:val="0"/>
        <w:spacing w:before="0" w:beforeAutospacing="0" w:after="0" w:afterAutospacing="0" w:line="580" w:lineRule="exact"/>
        <w:ind w:left="0" w:right="0"/>
        <w:jc w:val="center"/>
        <w:rPr>
          <w:rFonts w:hint="default" w:ascii="Times New Roman" w:hAnsi="Times New Roman" w:cs="Times New Roman"/>
          <w:lang w:val="en-US"/>
        </w:rPr>
      </w:pPr>
      <w:r>
        <w:rPr>
          <w:rFonts w:hint="default" w:ascii="Times New Roman" w:hAnsi="Times New Roman" w:eastAsia="仿宋_GB2312" w:cs="Times New Roman"/>
          <w:kern w:val="2"/>
          <w:sz w:val="32"/>
          <w:szCs w:val="24"/>
          <w:lang w:val="en-US" w:eastAsia="zh-CN" w:bidi="ar"/>
        </w:rPr>
        <w:t>（</w:t>
      </w:r>
      <w:r>
        <w:rPr>
          <w:rFonts w:hint="default" w:ascii="Times New Roman" w:hAnsi="Times New Roman" w:cs="Times New Roman"/>
          <w:kern w:val="2"/>
          <w:sz w:val="32"/>
          <w:szCs w:val="24"/>
          <w:lang w:val="en-US" w:eastAsia="zh-CN" w:bidi="ar"/>
        </w:rPr>
        <w:t>“市政协调研、视察专项经费”</w:t>
      </w:r>
      <w:r>
        <w:rPr>
          <w:rFonts w:hint="default" w:ascii="Times New Roman" w:hAnsi="Times New Roman" w:eastAsia="仿宋_GB2312" w:cs="Times New Roman"/>
          <w:kern w:val="2"/>
          <w:sz w:val="32"/>
          <w:szCs w:val="24"/>
          <w:lang w:val="en-US" w:eastAsia="zh-CN" w:bidi="ar"/>
        </w:rPr>
        <w:t>项目）</w:t>
      </w:r>
    </w:p>
    <w:p>
      <w:pPr>
        <w:spacing w:line="580" w:lineRule="exact"/>
        <w:rPr>
          <w:rFonts w:hint="default" w:ascii="Times New Roman" w:hAnsi="Times New Roman" w:cs="Times New Roman"/>
          <w:lang w:val="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黑体" w:cs="Times New Roman"/>
          <w:lang w:val="zh-CN"/>
        </w:rPr>
      </w:pPr>
      <w:bookmarkStart w:id="131" w:name="_Toc26835"/>
      <w:bookmarkStart w:id="132" w:name="_Toc13247"/>
      <w:r>
        <w:rPr>
          <w:rFonts w:hint="default" w:ascii="Times New Roman" w:hAnsi="Times New Roman" w:eastAsia="黑体" w:cs="Times New Roman"/>
        </w:rPr>
        <w:t>一、</w:t>
      </w:r>
      <w:r>
        <w:rPr>
          <w:rFonts w:hint="default" w:ascii="Times New Roman" w:hAnsi="Times New Roman" w:eastAsia="黑体" w:cs="Times New Roman"/>
          <w:lang w:val="zh-CN"/>
        </w:rPr>
        <w:t>项目概况</w:t>
      </w:r>
      <w:bookmarkEnd w:id="131"/>
      <w:bookmarkEnd w:id="132"/>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楷体" w:cs="Times New Roman"/>
          <w:b/>
          <w:bCs/>
          <w:lang w:val="en-US" w:eastAsia="zh-CN"/>
        </w:rPr>
      </w:pPr>
      <w:r>
        <w:rPr>
          <w:rFonts w:hint="default" w:ascii="Times New Roman" w:hAnsi="Times New Roman" w:eastAsia="楷体" w:cs="Times New Roman"/>
          <w:b/>
          <w:bCs/>
          <w:lang w:val="zh-CN"/>
        </w:rPr>
        <w:t>（一）项目</w:t>
      </w:r>
      <w:r>
        <w:rPr>
          <w:rFonts w:hint="default" w:ascii="Times New Roman" w:hAnsi="Times New Roman" w:eastAsia="楷体" w:cs="Times New Roman"/>
          <w:b/>
          <w:bCs/>
          <w:lang w:val="zh-CN" w:eastAsia="zh-CN"/>
        </w:rPr>
        <w:t>资金申报及批复情况</w:t>
      </w:r>
    </w:p>
    <w:p>
      <w:pPr>
        <w:adjustRightInd w:val="0"/>
        <w:snapToGrid w:val="0"/>
        <w:spacing w:line="580" w:lineRule="exact"/>
        <w:ind w:firstLine="640" w:firstLineChars="200"/>
        <w:rPr>
          <w:rFonts w:hint="default" w:ascii="Times New Roman" w:hAnsi="Times New Roman" w:cs="Times New Roman"/>
          <w:lang w:val="zh-CN"/>
        </w:rPr>
      </w:pPr>
      <w:r>
        <w:rPr>
          <w:rFonts w:hint="default" w:ascii="Times New Roman" w:hAnsi="Times New Roman" w:cs="Times New Roman"/>
          <w:lang w:val="zh-CN" w:bidi="ar"/>
        </w:rPr>
        <w:t>根据《自贡市政协调研工作规范》《自贡市政协调研视察工作规则》《自贡市政协年度工作计划》</w:t>
      </w:r>
      <w:r>
        <w:rPr>
          <w:rFonts w:hint="default" w:ascii="Times New Roman" w:hAnsi="Times New Roman" w:cs="Times New Roman"/>
          <w:lang w:val="zh-CN"/>
        </w:rPr>
        <w:t>制定“市政协调研、视察专项经费”项目。</w:t>
      </w:r>
      <w:r>
        <w:rPr>
          <w:rFonts w:hint="default" w:ascii="Times New Roman" w:hAnsi="Times New Roman" w:cs="Times New Roman"/>
          <w:lang w:val="zh-CN" w:bidi="ar"/>
        </w:rPr>
        <w:t>主要用于保障专委会、研究室和362名政协委员调研、视察以及26个界别小组履职活动开展</w:t>
      </w:r>
      <w:r>
        <w:rPr>
          <w:rFonts w:hint="default" w:ascii="Times New Roman" w:hAnsi="Times New Roman" w:cs="Times New Roman"/>
          <w:lang w:val="zh-CN"/>
        </w:rPr>
        <w:t>。项目经费按照每个专委会、研究室核定工作经费5万元，市政协委员活动费1000元/人，界别小组活动费600元/人，金额合计</w:t>
      </w:r>
      <w:r>
        <w:rPr>
          <w:rFonts w:hint="default" w:ascii="Times New Roman" w:hAnsi="Times New Roman" w:cs="Times New Roman"/>
          <w:lang w:val="en-US" w:eastAsia="zh-CN"/>
        </w:rPr>
        <w:t>112.92</w:t>
      </w:r>
      <w:r>
        <w:rPr>
          <w:rFonts w:hint="default" w:ascii="Times New Roman" w:hAnsi="Times New Roman" w:cs="Times New Roman"/>
          <w:lang w:val="zh-CN"/>
        </w:rPr>
        <w:t>万元，符合资金管理办法。</w:t>
      </w:r>
    </w:p>
    <w:p>
      <w:pPr>
        <w:adjustRightInd w:val="0"/>
        <w:snapToGrid w:val="0"/>
        <w:spacing w:line="580" w:lineRule="exact"/>
        <w:ind w:firstLine="643" w:firstLineChars="200"/>
        <w:rPr>
          <w:rFonts w:hint="default" w:ascii="Times New Roman" w:hAnsi="Times New Roman" w:eastAsia="楷体" w:cs="Times New Roman"/>
          <w:b/>
          <w:bCs/>
          <w:lang w:val="zh-CN"/>
        </w:rPr>
      </w:pPr>
      <w:r>
        <w:rPr>
          <w:rFonts w:hint="default" w:ascii="Times New Roman" w:hAnsi="Times New Roman" w:eastAsia="楷体" w:cs="Times New Roman"/>
          <w:b/>
          <w:bCs/>
          <w:lang w:val="zh-CN"/>
        </w:rPr>
        <w:t>（二）项目绩效目标</w:t>
      </w:r>
    </w:p>
    <w:p>
      <w:pPr>
        <w:adjustRightInd w:val="0"/>
        <w:snapToGrid w:val="0"/>
        <w:spacing w:line="580" w:lineRule="exact"/>
        <w:ind w:firstLine="640" w:firstLineChars="200"/>
        <w:rPr>
          <w:rFonts w:hint="default" w:ascii="Times New Roman" w:hAnsi="Times New Roman" w:cs="Times New Roman"/>
          <w:lang w:val="zh-CN"/>
        </w:rPr>
      </w:pPr>
      <w:r>
        <w:rPr>
          <w:rFonts w:hint="default" w:ascii="Times New Roman" w:hAnsi="Times New Roman" w:cs="Times New Roman"/>
          <w:lang w:val="zh-CN"/>
        </w:rPr>
        <w:t>“市政协调研、视察专项经费”设定完成指标、效益指标和满意度指标，分别为：</w:t>
      </w:r>
    </w:p>
    <w:p>
      <w:pPr>
        <w:adjustRightInd w:val="0"/>
        <w:snapToGrid w:val="0"/>
        <w:spacing w:line="580" w:lineRule="exact"/>
        <w:ind w:firstLine="640" w:firstLineChars="200"/>
        <w:rPr>
          <w:rFonts w:hint="default" w:ascii="Times New Roman" w:hAnsi="Times New Roman" w:cs="Times New Roman"/>
          <w:lang w:val="zh-CN"/>
        </w:rPr>
      </w:pPr>
      <w:r>
        <w:rPr>
          <w:rFonts w:hint="default" w:ascii="Times New Roman" w:hAnsi="Times New Roman" w:cs="Times New Roman"/>
          <w:lang w:val="zh-CN"/>
        </w:rPr>
        <w:t>数量指标：开展重点调研10次，开展监督性视察20-30次；</w:t>
      </w:r>
    </w:p>
    <w:p>
      <w:pPr>
        <w:adjustRightInd w:val="0"/>
        <w:snapToGrid w:val="0"/>
        <w:spacing w:line="580" w:lineRule="exact"/>
        <w:ind w:firstLine="640" w:firstLineChars="200"/>
        <w:rPr>
          <w:rFonts w:hint="default" w:ascii="Times New Roman" w:hAnsi="Times New Roman" w:cs="Times New Roman"/>
          <w:lang w:val="zh-CN"/>
        </w:rPr>
      </w:pPr>
      <w:r>
        <w:rPr>
          <w:rFonts w:hint="default" w:ascii="Times New Roman" w:hAnsi="Times New Roman" w:cs="Times New Roman"/>
          <w:lang w:val="zh-CN"/>
        </w:rPr>
        <w:t>质量指标：高质量完成各类调研、监督性视察任务；</w:t>
      </w:r>
    </w:p>
    <w:p>
      <w:pPr>
        <w:adjustRightInd w:val="0"/>
        <w:snapToGrid w:val="0"/>
        <w:spacing w:line="580" w:lineRule="exact"/>
        <w:ind w:firstLine="640" w:firstLineChars="200"/>
        <w:rPr>
          <w:rFonts w:hint="default" w:ascii="Times New Roman" w:hAnsi="Times New Roman" w:cs="Times New Roman"/>
          <w:lang w:val="zh-CN"/>
        </w:rPr>
      </w:pPr>
      <w:r>
        <w:rPr>
          <w:rFonts w:hint="default" w:ascii="Times New Roman" w:hAnsi="Times New Roman" w:cs="Times New Roman"/>
          <w:lang w:val="zh-CN"/>
        </w:rPr>
        <w:t>成本指标：严格按照有关财经</w:t>
      </w:r>
      <w:r>
        <w:rPr>
          <w:rFonts w:hint="default" w:ascii="Times New Roman" w:hAnsi="Times New Roman" w:cs="Times New Roman"/>
          <w:lang w:val="zh-CN" w:eastAsia="zh-CN"/>
        </w:rPr>
        <w:t>制度</w:t>
      </w:r>
      <w:r>
        <w:rPr>
          <w:rFonts w:hint="default" w:ascii="Times New Roman" w:hAnsi="Times New Roman" w:cs="Times New Roman"/>
          <w:lang w:val="zh-CN"/>
        </w:rPr>
        <w:t>执行</w:t>
      </w:r>
      <w:r>
        <w:rPr>
          <w:rFonts w:hint="default" w:ascii="Times New Roman" w:hAnsi="Times New Roman" w:cs="Times New Roman"/>
          <w:lang w:val="zh-CN" w:eastAsia="zh-CN"/>
        </w:rPr>
        <w:t>，目标值</w:t>
      </w:r>
      <w:r>
        <w:rPr>
          <w:rFonts w:hint="default" w:ascii="Times New Roman" w:hAnsi="Times New Roman" w:cs="Times New Roman"/>
          <w:lang w:val="en-US" w:eastAsia="zh-CN"/>
        </w:rPr>
        <w:t>112.92万元</w:t>
      </w:r>
      <w:r>
        <w:rPr>
          <w:rFonts w:hint="default" w:ascii="Times New Roman" w:hAnsi="Times New Roman" w:cs="Times New Roman"/>
          <w:lang w:val="zh-CN"/>
        </w:rPr>
        <w:t>；</w:t>
      </w:r>
    </w:p>
    <w:p>
      <w:pPr>
        <w:adjustRightInd w:val="0"/>
        <w:snapToGrid w:val="0"/>
        <w:spacing w:line="580" w:lineRule="exact"/>
        <w:ind w:firstLine="640" w:firstLineChars="200"/>
        <w:rPr>
          <w:rFonts w:hint="default" w:ascii="Times New Roman" w:hAnsi="Times New Roman" w:cs="Times New Roman"/>
          <w:kern w:val="0"/>
        </w:rPr>
      </w:pPr>
      <w:r>
        <w:rPr>
          <w:rFonts w:hint="default" w:ascii="Times New Roman" w:hAnsi="Times New Roman" w:cs="Times New Roman"/>
          <w:lang w:val="zh-CN"/>
        </w:rPr>
        <w:t>经济效益指标：通过调研、视察，充分发挥委员主体作用和界别桥梁作用，调动委员的积极性，为党委政府科学决策贡献“金点子”；</w:t>
      </w:r>
    </w:p>
    <w:p>
      <w:pPr>
        <w:adjustRightInd w:val="0"/>
        <w:snapToGrid w:val="0"/>
        <w:spacing w:line="580" w:lineRule="exact"/>
        <w:ind w:firstLine="640" w:firstLineChars="200"/>
        <w:rPr>
          <w:rFonts w:hint="default" w:ascii="Times New Roman" w:hAnsi="Times New Roman" w:cs="Times New Roman"/>
          <w:kern w:val="0"/>
        </w:rPr>
      </w:pPr>
      <w:r>
        <w:rPr>
          <w:rFonts w:hint="default" w:ascii="Times New Roman" w:hAnsi="Times New Roman" w:cs="Times New Roman"/>
          <w:kern w:val="0"/>
        </w:rPr>
        <w:t>社会效益指标：通过履职成果的转化，化解社会矛盾、解决民生热点难点问题，促进社会和谐发展；</w:t>
      </w:r>
    </w:p>
    <w:p>
      <w:pPr>
        <w:adjustRightInd w:val="0"/>
        <w:snapToGrid w:val="0"/>
        <w:spacing w:line="580" w:lineRule="exact"/>
        <w:ind w:firstLine="640" w:firstLineChars="200"/>
        <w:rPr>
          <w:rFonts w:hint="default" w:ascii="Times New Roman" w:hAnsi="Times New Roman" w:cs="Times New Roman"/>
          <w:lang w:val="zh-CN"/>
        </w:rPr>
      </w:pPr>
      <w:r>
        <w:rPr>
          <w:rFonts w:hint="default" w:ascii="Times New Roman" w:hAnsi="Times New Roman" w:cs="Times New Roman"/>
          <w:kern w:val="0"/>
        </w:rPr>
        <w:t>满意度指标：调研、视察成果社会满意度90%以上。</w:t>
      </w:r>
    </w:p>
    <w:p>
      <w:pPr>
        <w:adjustRightInd w:val="0"/>
        <w:snapToGrid w:val="0"/>
        <w:spacing w:line="580" w:lineRule="exact"/>
        <w:ind w:firstLine="643" w:firstLineChars="200"/>
        <w:rPr>
          <w:rFonts w:hint="default" w:ascii="Times New Roman" w:hAnsi="Times New Roman" w:eastAsia="楷体" w:cs="Times New Roman"/>
          <w:b/>
          <w:bCs/>
          <w:lang w:val="zh-CN"/>
        </w:rPr>
      </w:pPr>
      <w:r>
        <w:rPr>
          <w:rFonts w:hint="default" w:ascii="Times New Roman" w:hAnsi="Times New Roman" w:eastAsia="楷体" w:cs="Times New Roman"/>
          <w:b/>
          <w:bCs/>
          <w:lang w:val="zh-CN"/>
        </w:rPr>
        <w:t>（三）项目资金申报相符性</w:t>
      </w:r>
    </w:p>
    <w:p>
      <w:pPr>
        <w:adjustRightInd w:val="0"/>
        <w:snapToGrid w:val="0"/>
        <w:spacing w:line="580" w:lineRule="exact"/>
        <w:ind w:firstLine="640" w:firstLineChars="200"/>
        <w:rPr>
          <w:rFonts w:hint="default" w:ascii="Times New Roman" w:hAnsi="Times New Roman" w:cs="Times New Roman"/>
          <w:lang w:val="zh-CN"/>
        </w:rPr>
      </w:pPr>
      <w:r>
        <w:rPr>
          <w:rFonts w:hint="default" w:ascii="Times New Roman" w:hAnsi="Times New Roman" w:cs="Times New Roman"/>
          <w:lang w:val="zh-CN"/>
        </w:rPr>
        <w:t>在项目资金使用上，自贡市政协办公室均按照市财政有关要求申报资金计划，资金支付范围、支付标准、支付进度、支付依据均合规合法，且与预算相符。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黑体" w:cs="Times New Roman"/>
        </w:rPr>
      </w:pPr>
      <w:bookmarkStart w:id="133" w:name="_Toc26882"/>
      <w:bookmarkStart w:id="134" w:name="_Toc18158"/>
      <w:r>
        <w:rPr>
          <w:rFonts w:hint="default" w:ascii="Times New Roman" w:hAnsi="Times New Roman" w:eastAsia="黑体" w:cs="Times New Roman"/>
          <w:lang w:eastAsia="zh-CN"/>
        </w:rPr>
        <w:t>二</w:t>
      </w:r>
      <w:r>
        <w:rPr>
          <w:rFonts w:hint="default" w:ascii="Times New Roman" w:hAnsi="Times New Roman" w:eastAsia="黑体" w:cs="Times New Roman"/>
        </w:rPr>
        <w:t>、项目实施及管理情况</w:t>
      </w:r>
      <w:bookmarkEnd w:id="133"/>
      <w:bookmarkEnd w:id="134"/>
    </w:p>
    <w:p>
      <w:pPr>
        <w:adjustRightInd w:val="0"/>
        <w:snapToGrid w:val="0"/>
        <w:spacing w:line="580" w:lineRule="exact"/>
        <w:ind w:firstLine="643" w:firstLineChars="200"/>
        <w:rPr>
          <w:rFonts w:hint="default" w:ascii="Times New Roman" w:hAnsi="Times New Roman" w:eastAsia="楷体" w:cs="Times New Roman"/>
          <w:b/>
          <w:bCs/>
          <w:lang w:val="zh-CN"/>
        </w:rPr>
      </w:pPr>
      <w:r>
        <w:rPr>
          <w:rFonts w:hint="default" w:ascii="Times New Roman" w:hAnsi="Times New Roman" w:eastAsia="楷体" w:cs="Times New Roman"/>
          <w:b/>
          <w:bCs/>
          <w:lang w:val="zh-CN"/>
        </w:rPr>
        <w:t>（一）资金计划、到位及使用情况</w:t>
      </w:r>
    </w:p>
    <w:p>
      <w:pPr>
        <w:adjustRightInd w:val="0"/>
        <w:snapToGrid w:val="0"/>
        <w:spacing w:line="580" w:lineRule="exact"/>
        <w:ind w:firstLine="640" w:firstLineChars="200"/>
        <w:rPr>
          <w:rFonts w:hint="default" w:ascii="Times New Roman" w:hAnsi="Times New Roman" w:cs="Times New Roman"/>
          <w:lang w:val="zh-CN"/>
        </w:rPr>
      </w:pPr>
      <w:r>
        <w:rPr>
          <w:rFonts w:hint="default" w:ascii="Times New Roman" w:hAnsi="Times New Roman" w:eastAsia="楷体_GB2312" w:cs="Times New Roman"/>
          <w:kern w:val="2"/>
          <w:sz w:val="32"/>
          <w:szCs w:val="24"/>
          <w:lang w:val="zh-CN" w:eastAsia="zh-CN" w:bidi="ar"/>
        </w:rPr>
        <w:t>1．资金计划及到位。</w:t>
      </w:r>
      <w:r>
        <w:rPr>
          <w:rFonts w:hint="default" w:ascii="Times New Roman" w:hAnsi="Times New Roman" w:cs="Times New Roman"/>
          <w:lang w:val="zh-CN"/>
        </w:rPr>
        <w:t>该项目资金合计1</w:t>
      </w:r>
      <w:r>
        <w:rPr>
          <w:rFonts w:hint="default" w:ascii="Times New Roman" w:hAnsi="Times New Roman" w:cs="Times New Roman"/>
          <w:lang w:val="en-US" w:eastAsia="zh-CN"/>
        </w:rPr>
        <w:t>12.92</w:t>
      </w:r>
      <w:r>
        <w:rPr>
          <w:rFonts w:hint="default" w:ascii="Times New Roman" w:hAnsi="Times New Roman" w:cs="Times New Roman"/>
          <w:lang w:val="zh-CN"/>
        </w:rPr>
        <w:t>万元，均为一般公共预算财政拨款，执行率</w:t>
      </w:r>
      <w:r>
        <w:rPr>
          <w:rFonts w:hint="default" w:ascii="Times New Roman" w:hAnsi="Times New Roman" w:cs="Times New Roman"/>
          <w:lang w:val="en-US" w:eastAsia="zh-CN"/>
        </w:rPr>
        <w:t>100%，</w:t>
      </w:r>
      <w:r>
        <w:rPr>
          <w:rFonts w:hint="default" w:ascii="Times New Roman" w:hAnsi="Times New Roman" w:cs="Times New Roman"/>
          <w:lang w:val="zh-CN" w:bidi="ar"/>
        </w:rPr>
        <w:t>项目资金及时足额到位</w:t>
      </w:r>
      <w:r>
        <w:rPr>
          <w:rFonts w:hint="default" w:ascii="Times New Roman" w:hAnsi="Times New Roman" w:cs="Times New Roman"/>
          <w:lang w:val="zh-CN"/>
        </w:rPr>
        <w:t>，与资金计划相符。</w:t>
      </w:r>
    </w:p>
    <w:p>
      <w:pPr>
        <w:adjustRightInd w:val="0"/>
        <w:snapToGrid w:val="0"/>
        <w:spacing w:line="580" w:lineRule="exact"/>
        <w:ind w:firstLine="640" w:firstLineChars="200"/>
        <w:rPr>
          <w:rFonts w:hint="default" w:ascii="Times New Roman" w:hAnsi="Times New Roman" w:cs="Times New Roman"/>
          <w:lang w:val="zh-CN"/>
        </w:rPr>
      </w:pPr>
      <w:r>
        <w:rPr>
          <w:rFonts w:hint="default" w:ascii="Times New Roman" w:hAnsi="Times New Roman" w:eastAsia="楷体_GB2312" w:cs="Times New Roman"/>
          <w:kern w:val="2"/>
          <w:sz w:val="32"/>
          <w:szCs w:val="24"/>
          <w:lang w:val="zh-CN" w:eastAsia="zh-CN" w:bidi="ar"/>
        </w:rPr>
        <w:t>2．资金使用。</w:t>
      </w:r>
      <w:r>
        <w:rPr>
          <w:rFonts w:hint="default" w:ascii="Times New Roman" w:hAnsi="Times New Roman" w:cs="Times New Roman"/>
        </w:rPr>
        <w:t>项目全年预算数</w:t>
      </w:r>
      <w:r>
        <w:rPr>
          <w:rFonts w:hint="default" w:ascii="Times New Roman" w:hAnsi="Times New Roman" w:cs="Times New Roman"/>
          <w:lang w:val="en-US" w:eastAsia="zh-CN"/>
        </w:rPr>
        <w:t>112.92</w:t>
      </w:r>
      <w:r>
        <w:rPr>
          <w:rFonts w:hint="default" w:ascii="Times New Roman" w:hAnsi="Times New Roman" w:cs="Times New Roman"/>
        </w:rPr>
        <w:t>万元，</w:t>
      </w:r>
      <w:r>
        <w:rPr>
          <w:rFonts w:hint="default" w:ascii="Times New Roman" w:hAnsi="Times New Roman" w:cs="Times New Roman"/>
          <w:lang w:val="zh-CN" w:bidi="ar"/>
        </w:rPr>
        <w:t>实际</w:t>
      </w:r>
      <w:r>
        <w:rPr>
          <w:rFonts w:hint="default" w:ascii="Times New Roman" w:hAnsi="Times New Roman" w:cs="Times New Roman"/>
        </w:rPr>
        <w:t>执行数为</w:t>
      </w:r>
      <w:r>
        <w:rPr>
          <w:rFonts w:hint="default" w:ascii="Times New Roman" w:hAnsi="Times New Roman" w:cs="Times New Roman"/>
          <w:lang w:val="en-US" w:eastAsia="zh-CN"/>
        </w:rPr>
        <w:t>112.92</w:t>
      </w:r>
      <w:r>
        <w:rPr>
          <w:rFonts w:hint="default" w:ascii="Times New Roman" w:hAnsi="Times New Roman" w:cs="Times New Roman"/>
        </w:rPr>
        <w:t>万元，完成预算的</w:t>
      </w:r>
      <w:r>
        <w:rPr>
          <w:rFonts w:hint="default" w:ascii="Times New Roman" w:hAnsi="Times New Roman" w:cs="Times New Roman"/>
          <w:lang w:val="en-US" w:eastAsia="zh-CN"/>
        </w:rPr>
        <w:t>100</w:t>
      </w:r>
      <w:r>
        <w:rPr>
          <w:rFonts w:hint="default" w:ascii="Times New Roman" w:hAnsi="Times New Roman" w:cs="Times New Roman"/>
        </w:rPr>
        <w:t>%。</w:t>
      </w:r>
      <w:r>
        <w:rPr>
          <w:rFonts w:hint="default" w:ascii="Times New Roman" w:hAnsi="Times New Roman" w:cs="Times New Roman"/>
          <w:lang w:eastAsia="zh-CN"/>
        </w:rPr>
        <w:t>主要用于支付</w:t>
      </w:r>
      <w:r>
        <w:rPr>
          <w:rFonts w:hint="default" w:ascii="Times New Roman" w:hAnsi="Times New Roman" w:cs="Times New Roman"/>
          <w:lang w:val="zh-CN" w:bidi="ar"/>
        </w:rPr>
        <w:t>专委会、研究室、362名政协委员以及26个界别小组开展调研、视察发生的劳务、差旅、会务及公务用车租赁等，</w:t>
      </w:r>
      <w:r>
        <w:rPr>
          <w:rFonts w:hint="default" w:ascii="Times New Roman" w:hAnsi="Times New Roman" w:cs="Times New Roman"/>
          <w:lang w:val="zh-CN"/>
        </w:rPr>
        <w:t>支付依据符合《自贡市政协机关专委会、研究室经费管理办法》《自贡市市级机关会议费管理办法》《自贡市市级机关差旅费管理办法》等有关财经制度。</w:t>
      </w:r>
    </w:p>
    <w:p>
      <w:pPr>
        <w:adjustRightInd w:val="0"/>
        <w:snapToGrid w:val="0"/>
        <w:spacing w:line="580" w:lineRule="exact"/>
        <w:ind w:firstLine="643" w:firstLineChars="200"/>
        <w:rPr>
          <w:rFonts w:hint="default" w:ascii="Times New Roman" w:hAnsi="Times New Roman" w:cs="Times New Roman"/>
          <w:lang w:val="zh-CN"/>
        </w:rPr>
      </w:pPr>
      <w:r>
        <w:rPr>
          <w:rFonts w:hint="default" w:ascii="Times New Roman" w:hAnsi="Times New Roman" w:eastAsia="楷体" w:cs="Times New Roman"/>
          <w:b/>
          <w:bCs/>
          <w:lang w:val="zh-CN"/>
        </w:rPr>
        <w:t>（二）项目财务管理情况</w:t>
      </w:r>
    </w:p>
    <w:p>
      <w:pPr>
        <w:pStyle w:val="12"/>
        <w:keepNext w:val="0"/>
        <w:keepLines w:val="0"/>
        <w:pageBreakBefore w:val="0"/>
        <w:widowControl w:val="0"/>
        <w:kinsoku/>
        <w:wordWrap/>
        <w:overflowPunct/>
        <w:topLinePunct w:val="0"/>
        <w:autoSpaceDE/>
        <w:autoSpaceDN/>
        <w:bidi w:val="0"/>
        <w:spacing w:after="0"/>
        <w:ind w:left="0" w:leftChars="0" w:firstLine="640" w:firstLineChars="200"/>
        <w:textAlignment w:val="auto"/>
        <w:rPr>
          <w:rFonts w:hint="default" w:ascii="Times New Roman" w:hAnsi="Times New Roman" w:cs="Times New Roman"/>
          <w:lang w:val="zh-CN"/>
        </w:rPr>
      </w:pPr>
      <w:r>
        <w:rPr>
          <w:rFonts w:hint="default" w:ascii="Times New Roman" w:hAnsi="Times New Roman" w:cs="Times New Roman"/>
          <w:lang w:val="zh-CN"/>
        </w:rPr>
        <w:t>该专项设置“</w:t>
      </w:r>
      <w:r>
        <w:rPr>
          <w:rFonts w:hint="default" w:ascii="Times New Roman" w:hAnsi="Times New Roman" w:cs="Times New Roman"/>
          <w:lang w:val="zh-CN" w:eastAsia="zh-CN"/>
        </w:rPr>
        <w:t>劳务费</w:t>
      </w:r>
      <w:r>
        <w:rPr>
          <w:rFonts w:hint="default" w:ascii="Times New Roman" w:hAnsi="Times New Roman" w:cs="Times New Roman"/>
          <w:lang w:val="zh-CN"/>
        </w:rPr>
        <w:t>” “差旅费”“会议费”“其他交通费”“其他商品和服务支出”5个经济分类科目，客观反映了项目实施过程中的资金流向。资金使用过程中，严格执行《自贡市政协机关财务管理办法》等有关制度，在账务处理中按照各委（室）进行专项辅助核算，财务处理及时、会计核算规范。</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default" w:ascii="Times New Roman" w:hAnsi="Times New Roman" w:cs="Times New Roman"/>
          <w:lang w:val="zh-CN"/>
        </w:rPr>
      </w:pPr>
      <w:r>
        <w:rPr>
          <w:rFonts w:hint="default" w:ascii="Times New Roman" w:hAnsi="Times New Roman" w:eastAsia="楷体" w:cs="Times New Roman"/>
          <w:b/>
          <w:bCs/>
          <w:lang w:val="zh-CN"/>
        </w:rPr>
        <w:t>（三）项目组织实施情况</w:t>
      </w:r>
    </w:p>
    <w:p>
      <w:pPr>
        <w:adjustRightInd w:val="0"/>
        <w:snapToGrid w:val="0"/>
        <w:spacing w:line="592" w:lineRule="exact"/>
        <w:ind w:firstLine="640" w:firstLineChars="200"/>
        <w:rPr>
          <w:rFonts w:hint="default" w:ascii="Times New Roman" w:hAnsi="Times New Roman" w:cs="Times New Roman"/>
          <w:bCs/>
          <w:highlight w:val="cyan"/>
          <w:lang w:bidi="ar"/>
        </w:rPr>
      </w:pPr>
      <w:r>
        <w:rPr>
          <w:rFonts w:hint="default" w:ascii="Times New Roman" w:hAnsi="Times New Roman" w:cs="Times New Roman"/>
          <w:bCs/>
          <w:lang w:bidi="ar"/>
        </w:rPr>
        <w:t>市政协研究室、十个专门工作机构和各界别小组组织市政协委员围绕</w:t>
      </w:r>
      <w:r>
        <w:rPr>
          <w:rFonts w:hint="default" w:ascii="Times New Roman" w:hAnsi="Times New Roman" w:cs="Times New Roman"/>
          <w:szCs w:val="32"/>
        </w:rPr>
        <w:t>页岩气开采利用、彩灯行业高质量发展、推动脱贫攻坚与乡村振兴等</w:t>
      </w:r>
      <w:r>
        <w:rPr>
          <w:rFonts w:hint="default" w:ascii="Times New Roman" w:hAnsi="Times New Roman" w:cs="Times New Roman"/>
          <w:bCs/>
          <w:lang w:bidi="ar"/>
        </w:rPr>
        <w:t>全市中心工作和市政协年度工作要点开展调研、视察、协商、座谈、考察，并形成履职</w:t>
      </w:r>
      <w:r>
        <w:rPr>
          <w:rFonts w:hint="default" w:ascii="Times New Roman" w:hAnsi="Times New Roman" w:cs="Times New Roman"/>
          <w:szCs w:val="32"/>
        </w:rPr>
        <w:t>成果报送省政协和市委、市政府及有关方面参阅</w:t>
      </w:r>
      <w:r>
        <w:rPr>
          <w:rFonts w:hint="default" w:ascii="Times New Roman" w:hAnsi="Times New Roman" w:cs="Times New Roman"/>
          <w:bCs/>
          <w:lang w:bidi="ar"/>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黑体" w:cs="Times New Roman"/>
          <w:lang w:val="zh-CN"/>
        </w:rPr>
      </w:pPr>
      <w:bookmarkStart w:id="135" w:name="_Toc7507"/>
      <w:bookmarkStart w:id="136" w:name="_Toc13977"/>
      <w:r>
        <w:rPr>
          <w:rFonts w:hint="default" w:ascii="Times New Roman" w:hAnsi="Times New Roman" w:eastAsia="黑体" w:cs="Times New Roman"/>
          <w:lang w:eastAsia="zh-CN"/>
        </w:rPr>
        <w:t>三</w:t>
      </w:r>
      <w:r>
        <w:rPr>
          <w:rFonts w:hint="default" w:ascii="Times New Roman" w:hAnsi="Times New Roman" w:eastAsia="黑体" w:cs="Times New Roman"/>
        </w:rPr>
        <w:t>、项目绩效情况</w:t>
      </w:r>
      <w:bookmarkEnd w:id="135"/>
      <w:bookmarkEnd w:id="136"/>
      <w:r>
        <w:rPr>
          <w:rFonts w:hint="default" w:ascii="Times New Roman" w:hAnsi="Times New Roman" w:eastAsia="黑体" w:cs="Times New Roman"/>
          <w:lang w:val="zh-CN"/>
        </w:rPr>
        <w:tab/>
      </w:r>
    </w:p>
    <w:p>
      <w:pPr>
        <w:adjustRightInd w:val="0"/>
        <w:snapToGrid w:val="0"/>
        <w:spacing w:line="580" w:lineRule="exact"/>
        <w:ind w:firstLine="643" w:firstLineChars="200"/>
        <w:rPr>
          <w:rFonts w:hint="default" w:ascii="Times New Roman" w:hAnsi="Times New Roman" w:cs="Times New Roman"/>
          <w:lang w:val="zh-CN"/>
        </w:rPr>
      </w:pPr>
      <w:r>
        <w:rPr>
          <w:rFonts w:hint="default" w:ascii="Times New Roman" w:hAnsi="Times New Roman" w:eastAsia="楷体" w:cs="Times New Roman"/>
          <w:b/>
          <w:bCs/>
          <w:lang w:val="zh-CN"/>
        </w:rPr>
        <w:t>（一）项目完成情况</w:t>
      </w:r>
    </w:p>
    <w:p>
      <w:pPr>
        <w:adjustRightInd w:val="0"/>
        <w:snapToGrid w:val="0"/>
        <w:spacing w:line="592" w:lineRule="exact"/>
        <w:ind w:firstLine="640" w:firstLineChars="200"/>
        <w:rPr>
          <w:rFonts w:hint="default" w:ascii="Times New Roman" w:hAnsi="Times New Roman" w:cs="Times New Roman"/>
          <w:szCs w:val="32"/>
          <w:highlight w:val="cyan"/>
        </w:rPr>
      </w:pPr>
      <w:r>
        <w:rPr>
          <w:rFonts w:hint="default" w:ascii="Times New Roman" w:hAnsi="Times New Roman" w:cs="Times New Roman"/>
          <w:szCs w:val="32"/>
        </w:rPr>
        <w:t>市政协认真贯彻市委提出的“党委的工作推进到哪里、政协的力量就汇聚到哪里，党委的部署落实到哪里、政协的作用就发挥到哪里”要求，积极落实“党委出题、政协调研、政府采纳、部门落实”和“1+N”工作机制，</w:t>
      </w:r>
      <w:r>
        <w:rPr>
          <w:rFonts w:hint="eastAsia" w:cs="Times New Roman"/>
          <w:szCs w:val="32"/>
          <w:lang w:eastAsia="zh-CN"/>
        </w:rPr>
        <w:t>重点围绕</w:t>
      </w:r>
      <w:r>
        <w:rPr>
          <w:rFonts w:hint="default" w:ascii="Times New Roman" w:hAnsi="Times New Roman" w:cs="Times New Roman"/>
          <w:szCs w:val="32"/>
        </w:rPr>
        <w:t>页岩气开采利用、彩灯行业高质量发展、推动脱贫攻坚与乡村振兴有机衔接等课</w:t>
      </w:r>
      <w:r>
        <w:rPr>
          <w:rFonts w:hint="default" w:ascii="Times New Roman" w:hAnsi="Times New Roman" w:cs="Times New Roman"/>
          <w:szCs w:val="32"/>
          <w:highlight w:val="none"/>
        </w:rPr>
        <w:t>题</w:t>
      </w:r>
      <w:r>
        <w:rPr>
          <w:rFonts w:hint="eastAsia" w:cs="Times New Roman"/>
          <w:szCs w:val="32"/>
          <w:highlight w:val="none"/>
          <w:lang w:eastAsia="zh-CN"/>
        </w:rPr>
        <w:t>开展重点</w:t>
      </w:r>
      <w:r>
        <w:rPr>
          <w:rFonts w:hint="default" w:ascii="Times New Roman" w:hAnsi="Times New Roman" w:cs="Times New Roman"/>
          <w:szCs w:val="32"/>
          <w:highlight w:val="none"/>
        </w:rPr>
        <w:t>调研</w:t>
      </w:r>
      <w:r>
        <w:rPr>
          <w:rFonts w:hint="eastAsia" w:cs="Times New Roman"/>
          <w:szCs w:val="32"/>
          <w:highlight w:val="none"/>
          <w:lang w:val="en-US" w:eastAsia="zh-CN"/>
        </w:rPr>
        <w:t>15次、视察60次</w:t>
      </w:r>
      <w:r>
        <w:rPr>
          <w:rFonts w:hint="default" w:ascii="Times New Roman" w:hAnsi="Times New Roman" w:cs="Times New Roman"/>
          <w:szCs w:val="32"/>
        </w:rPr>
        <w:t>，</w:t>
      </w:r>
      <w:r>
        <w:rPr>
          <w:rFonts w:hint="eastAsia" w:cs="Times New Roman"/>
          <w:szCs w:val="32"/>
          <w:lang w:eastAsia="zh-CN"/>
        </w:rPr>
        <w:t>组织</w:t>
      </w:r>
      <w:r>
        <w:rPr>
          <w:rFonts w:hint="default" w:ascii="Times New Roman" w:hAnsi="Times New Roman" w:cs="Times New Roman"/>
          <w:szCs w:val="32"/>
        </w:rPr>
        <w:t>专题协商、对口协商、小微协商等21次。</w:t>
      </w:r>
    </w:p>
    <w:p>
      <w:pPr>
        <w:adjustRightInd w:val="0"/>
        <w:snapToGrid w:val="0"/>
        <w:spacing w:line="580" w:lineRule="exact"/>
        <w:ind w:firstLine="643" w:firstLineChars="200"/>
        <w:rPr>
          <w:rFonts w:hint="default" w:ascii="Times New Roman" w:hAnsi="Times New Roman" w:cs="Times New Roman"/>
          <w:lang w:val="zh-CN"/>
        </w:rPr>
      </w:pPr>
      <w:r>
        <w:rPr>
          <w:rFonts w:hint="default" w:ascii="Times New Roman" w:hAnsi="Times New Roman" w:eastAsia="楷体" w:cs="Times New Roman"/>
          <w:b/>
          <w:bCs/>
          <w:lang w:val="zh-CN"/>
        </w:rPr>
        <w:t>（二）项目效益情况</w:t>
      </w:r>
    </w:p>
    <w:p>
      <w:pPr>
        <w:adjustRightInd w:val="0"/>
        <w:snapToGrid w:val="0"/>
        <w:spacing w:line="580" w:lineRule="exact"/>
        <w:ind w:firstLine="640" w:firstLineChars="200"/>
        <w:rPr>
          <w:rFonts w:hint="default" w:ascii="Times New Roman" w:hAnsi="Times New Roman" w:cs="Times New Roman"/>
          <w:lang w:val="zh-CN"/>
        </w:rPr>
      </w:pPr>
      <w:r>
        <w:rPr>
          <w:rFonts w:hint="default" w:ascii="Times New Roman" w:hAnsi="Times New Roman" w:cs="Times New Roman"/>
          <w:lang w:val="zh-CN"/>
        </w:rPr>
        <w:t>通过项目实施，充分发挥了政协人才荟萃优势，</w:t>
      </w:r>
      <w:r>
        <w:rPr>
          <w:rFonts w:hint="default" w:ascii="Times New Roman" w:hAnsi="Times New Roman" w:cs="Times New Roman"/>
          <w:szCs w:val="32"/>
        </w:rPr>
        <w:t>3篇工作报告得到省政协副主席曲木史哈等省领导肯定性批示，</w:t>
      </w:r>
      <w:r>
        <w:rPr>
          <w:rFonts w:hint="default" w:ascii="Times New Roman" w:hAnsi="Times New Roman" w:cs="Times New Roman"/>
          <w:bCs/>
          <w:lang w:bidi="ar"/>
        </w:rPr>
        <w:t>14份调研报告得到时任市委书记范波、市长曾洪扬等市领导肯定性批示，248件立案提案全部办复，组织住市省政协委员提交53件提案，90条社情民意信息被全国政协、省政协和市委市政府采纳，</w:t>
      </w:r>
      <w:r>
        <w:rPr>
          <w:rFonts w:hint="default" w:ascii="Times New Roman" w:hAnsi="Times New Roman" w:cs="Times New Roman"/>
          <w:lang w:val="zh-CN"/>
        </w:rPr>
        <w:t>促进了经济社会发展，社会满意度达到90%以上。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黑体" w:cs="Times New Roman"/>
        </w:rPr>
      </w:pPr>
      <w:bookmarkStart w:id="137" w:name="_Toc2722"/>
      <w:bookmarkStart w:id="138" w:name="_Toc15608"/>
      <w:r>
        <w:rPr>
          <w:rFonts w:hint="default" w:ascii="Times New Roman" w:hAnsi="Times New Roman" w:eastAsia="黑体" w:cs="Times New Roman"/>
          <w:lang w:eastAsia="zh-CN"/>
        </w:rPr>
        <w:t>四</w:t>
      </w:r>
      <w:r>
        <w:rPr>
          <w:rFonts w:hint="default" w:ascii="Times New Roman" w:hAnsi="Times New Roman" w:eastAsia="黑体" w:cs="Times New Roman"/>
        </w:rPr>
        <w:t>、</w:t>
      </w:r>
      <w:r>
        <w:rPr>
          <w:rFonts w:hint="default" w:ascii="Times New Roman" w:hAnsi="Times New Roman" w:eastAsia="黑体" w:cs="Times New Roman"/>
          <w:lang w:eastAsia="zh-CN"/>
        </w:rPr>
        <w:t>问题</w:t>
      </w:r>
      <w:r>
        <w:rPr>
          <w:rFonts w:hint="default" w:ascii="Times New Roman" w:hAnsi="Times New Roman" w:eastAsia="黑体" w:cs="Times New Roman"/>
        </w:rPr>
        <w:t>及建议</w:t>
      </w:r>
      <w:bookmarkEnd w:id="137"/>
      <w:bookmarkEnd w:id="138"/>
    </w:p>
    <w:p>
      <w:pPr>
        <w:spacing w:line="592" w:lineRule="exact"/>
        <w:ind w:firstLine="640" w:firstLineChars="200"/>
        <w:rPr>
          <w:rFonts w:hint="default" w:ascii="Times New Roman" w:hAnsi="Times New Roman" w:cs="Times New Roman"/>
          <w:szCs w:val="32"/>
        </w:rPr>
      </w:pPr>
      <w:r>
        <w:rPr>
          <w:rFonts w:hint="default" w:ascii="Times New Roman" w:hAnsi="Times New Roman" w:cs="Times New Roman"/>
        </w:rPr>
        <w:t>由于政协工作的特殊性，在资金执行中存在</w:t>
      </w:r>
      <w:r>
        <w:rPr>
          <w:rFonts w:hint="default" w:ascii="Times New Roman" w:hAnsi="Times New Roman" w:cs="Times New Roman"/>
          <w:szCs w:val="32"/>
        </w:rPr>
        <w:t>支出进度滞后的现象；项目中部分资金使用未完全一一对应到部门经济分类科目。在下一步的工作中将加强与各委（室）科的联系，</w:t>
      </w:r>
      <w:r>
        <w:rPr>
          <w:rFonts w:hint="default" w:ascii="Times New Roman" w:hAnsi="Times New Roman" w:cs="Times New Roman"/>
          <w:kern w:val="0"/>
        </w:rPr>
        <w:t>严格按照工作计划及进度开展工作，对已完成的工作任务，及时完结财务报销手续，同时</w:t>
      </w:r>
      <w:r>
        <w:rPr>
          <w:rFonts w:hint="default" w:ascii="Times New Roman" w:hAnsi="Times New Roman" w:cs="Times New Roman"/>
          <w:szCs w:val="32"/>
        </w:rPr>
        <w:t>逐步细化预算编制，降低预算支出调剂率。</w:t>
      </w:r>
    </w:p>
    <w:p>
      <w:pPr>
        <w:pStyle w:val="4"/>
        <w:rPr>
          <w:rFonts w:hint="default" w:ascii="Times New Roman" w:hAnsi="Times New Roman" w:cs="Times New Roman"/>
        </w:rPr>
      </w:pPr>
    </w:p>
    <w:p>
      <w:pPr>
        <w:rPr>
          <w:rFonts w:hint="default" w:ascii="Times New Roman" w:hAnsi="Times New Roman" w:cs="Times New Roman"/>
        </w:rPr>
      </w:pPr>
    </w:p>
    <w:p>
      <w:pPr>
        <w:pStyle w:val="12"/>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12"/>
        <w:rPr>
          <w:rFonts w:hint="default" w:ascii="Times New Roman" w:hAnsi="Times New Roman" w:cs="Times New Roman"/>
          <w:lang w:val="zh-CN"/>
        </w:rPr>
      </w:pPr>
    </w:p>
    <w:p>
      <w:pPr>
        <w:widowControl/>
        <w:spacing w:line="580" w:lineRule="exact"/>
        <w:jc w:val="left"/>
        <w:rPr>
          <w:rStyle w:val="19"/>
          <w:rFonts w:hint="default" w:ascii="Times New Roman" w:hAnsi="Times New Roman" w:cs="Times New Roman"/>
          <w:b w:val="0"/>
          <w:bCs w:val="0"/>
        </w:rPr>
      </w:pPr>
    </w:p>
    <w:p>
      <w:pPr>
        <w:pStyle w:val="12"/>
        <w:rPr>
          <w:rStyle w:val="19"/>
          <w:rFonts w:hint="default" w:ascii="Times New Roman" w:hAnsi="Times New Roman" w:cs="Times New Roman"/>
          <w:b w:val="0"/>
          <w:bCs w:val="0"/>
        </w:rPr>
      </w:pPr>
    </w:p>
    <w:p>
      <w:pPr>
        <w:keepNext w:val="0"/>
        <w:keepLines w:val="0"/>
        <w:widowControl w:val="0"/>
        <w:suppressLineNumbers w:val="0"/>
        <w:spacing w:before="0" w:beforeAutospacing="0" w:after="0" w:afterAutospacing="0" w:line="580" w:lineRule="exact"/>
        <w:ind w:left="0" w:right="0"/>
        <w:jc w:val="both"/>
        <w:outlineLvl w:val="0"/>
        <w:rPr>
          <w:rFonts w:hint="default" w:ascii="Times New Roman" w:hAnsi="Times New Roman" w:eastAsia="黑体" w:cs="Times New Roman"/>
          <w:kern w:val="2"/>
          <w:sz w:val="32"/>
          <w:szCs w:val="24"/>
          <w:lang w:val="en-US" w:eastAsia="zh-CN" w:bidi="ar"/>
        </w:rPr>
      </w:pPr>
      <w:bookmarkStart w:id="139" w:name="_Toc16201"/>
      <w:bookmarkStart w:id="140" w:name="_Toc18268"/>
      <w:bookmarkStart w:id="141" w:name="_Toc31900874"/>
      <w:bookmarkStart w:id="142" w:name="_Toc2397"/>
      <w:bookmarkStart w:id="143" w:name="_Toc22190"/>
    </w:p>
    <w:p>
      <w:pPr>
        <w:keepNext w:val="0"/>
        <w:keepLines w:val="0"/>
        <w:widowControl w:val="0"/>
        <w:suppressLineNumbers w:val="0"/>
        <w:spacing w:before="0" w:beforeAutospacing="0" w:after="0" w:afterAutospacing="0" w:line="580" w:lineRule="exact"/>
        <w:ind w:left="0" w:right="0"/>
        <w:jc w:val="both"/>
        <w:outlineLvl w:val="0"/>
        <w:rPr>
          <w:rFonts w:hint="default" w:ascii="Times New Roman" w:hAnsi="Times New Roman" w:cs="Times New Roman"/>
        </w:rPr>
      </w:pPr>
      <w:r>
        <w:rPr>
          <w:rFonts w:hint="default" w:ascii="Times New Roman" w:hAnsi="Times New Roman" w:eastAsia="黑体" w:cs="Times New Roman"/>
          <w:kern w:val="2"/>
          <w:sz w:val="32"/>
          <w:szCs w:val="24"/>
          <w:lang w:val="en-US" w:eastAsia="zh-CN" w:bidi="ar"/>
        </w:rPr>
        <w:t>附件3</w:t>
      </w:r>
      <w:bookmarkEnd w:id="139"/>
      <w:bookmarkEnd w:id="140"/>
      <w:bookmarkEnd w:id="141"/>
      <w:bookmarkEnd w:id="142"/>
      <w:bookmarkEnd w:id="143"/>
    </w:p>
    <w:tbl>
      <w:tblPr>
        <w:tblStyle w:val="13"/>
        <w:tblW w:w="9126" w:type="dxa"/>
        <w:jc w:val="center"/>
        <w:tblLayout w:type="autofit"/>
        <w:tblCellMar>
          <w:top w:w="0" w:type="dxa"/>
          <w:left w:w="108" w:type="dxa"/>
          <w:bottom w:w="0" w:type="dxa"/>
          <w:right w:w="108" w:type="dxa"/>
        </w:tblCellMar>
      </w:tblPr>
      <w:tblGrid>
        <w:gridCol w:w="570"/>
        <w:gridCol w:w="950"/>
        <w:gridCol w:w="1068"/>
        <w:gridCol w:w="694"/>
        <w:gridCol w:w="924"/>
        <w:gridCol w:w="175"/>
        <w:gridCol w:w="1281"/>
        <w:gridCol w:w="830"/>
        <w:gridCol w:w="276"/>
        <w:gridCol w:w="276"/>
        <w:gridCol w:w="411"/>
        <w:gridCol w:w="139"/>
        <w:gridCol w:w="692"/>
        <w:gridCol w:w="840"/>
      </w:tblGrid>
      <w:tr>
        <w:tblPrEx>
          <w:tblCellMar>
            <w:top w:w="0" w:type="dxa"/>
            <w:left w:w="108" w:type="dxa"/>
            <w:bottom w:w="0" w:type="dxa"/>
            <w:right w:w="108" w:type="dxa"/>
          </w:tblCellMar>
        </w:tblPrEx>
        <w:trPr>
          <w:trHeight w:val="498" w:hRule="exact"/>
          <w:jc w:val="center"/>
        </w:trPr>
        <w:tc>
          <w:tcPr>
            <w:tcW w:w="9126" w:type="dxa"/>
            <w:gridSpan w:val="14"/>
            <w:tcBorders>
              <w:top w:val="nil"/>
              <w:left w:val="nil"/>
              <w:bottom w:val="nil"/>
              <w:right w:val="nil"/>
            </w:tcBorders>
            <w:noWrap w:val="0"/>
            <w:vAlign w:val="center"/>
          </w:tcPr>
          <w:p>
            <w:pPr>
              <w:widowControl/>
              <w:spacing w:line="360" w:lineRule="exact"/>
              <w:jc w:val="center"/>
              <w:rPr>
                <w:rFonts w:hint="default" w:ascii="Times New Roman" w:hAnsi="Times New Roman" w:eastAsia="宋体" w:cs="Times New Roman"/>
                <w:b/>
                <w:bCs/>
                <w:kern w:val="0"/>
                <w:szCs w:val="32"/>
              </w:rPr>
            </w:pPr>
            <w:r>
              <w:rPr>
                <w:rFonts w:hint="default" w:ascii="Times New Roman" w:hAnsi="Times New Roman" w:eastAsia="方正小标宋简体" w:cs="Times New Roman"/>
                <w:bCs/>
                <w:color w:val="000000"/>
                <w:kern w:val="0"/>
                <w:szCs w:val="32"/>
              </w:rPr>
              <w:t>自贡市政协办公室项目支出绩效自评表</w:t>
            </w:r>
          </w:p>
        </w:tc>
      </w:tr>
      <w:tr>
        <w:tblPrEx>
          <w:tblCellMar>
            <w:top w:w="0" w:type="dxa"/>
            <w:left w:w="108" w:type="dxa"/>
            <w:bottom w:w="0" w:type="dxa"/>
            <w:right w:w="108" w:type="dxa"/>
          </w:tblCellMar>
        </w:tblPrEx>
        <w:trPr>
          <w:trHeight w:val="100" w:hRule="atLeast"/>
          <w:jc w:val="center"/>
        </w:trPr>
        <w:tc>
          <w:tcPr>
            <w:tcW w:w="9126" w:type="dxa"/>
            <w:gridSpan w:val="14"/>
            <w:tcBorders>
              <w:top w:val="nil"/>
              <w:left w:val="nil"/>
              <w:bottom w:val="nil"/>
              <w:right w:val="nil"/>
            </w:tcBorders>
            <w:noWrap w:val="0"/>
            <w:vAlign w:val="top"/>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（2021年度）</w:t>
            </w:r>
          </w:p>
        </w:tc>
      </w:tr>
      <w:tr>
        <w:tblPrEx>
          <w:tblCellMar>
            <w:top w:w="0" w:type="dxa"/>
            <w:left w:w="108" w:type="dxa"/>
            <w:bottom w:w="0" w:type="dxa"/>
            <w:right w:w="108" w:type="dxa"/>
          </w:tblCellMar>
        </w:tblPrEx>
        <w:trPr>
          <w:trHeight w:val="391" w:hRule="exact"/>
          <w:jc w:val="center"/>
        </w:trPr>
        <w:tc>
          <w:tcPr>
            <w:tcW w:w="15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项目名称</w:t>
            </w:r>
          </w:p>
        </w:tc>
        <w:tc>
          <w:tcPr>
            <w:tcW w:w="7606"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ind w:firstLine="1680" w:firstLineChars="800"/>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21"/>
                <w:szCs w:val="21"/>
              </w:rPr>
              <w:t>市政协调研、视察专项经费</w:t>
            </w:r>
          </w:p>
        </w:tc>
      </w:tr>
      <w:tr>
        <w:tblPrEx>
          <w:tblCellMar>
            <w:top w:w="0" w:type="dxa"/>
            <w:left w:w="108" w:type="dxa"/>
            <w:bottom w:w="0" w:type="dxa"/>
            <w:right w:w="108" w:type="dxa"/>
          </w:tblCellMar>
        </w:tblPrEx>
        <w:trPr>
          <w:trHeight w:val="332" w:hRule="exact"/>
          <w:jc w:val="center"/>
        </w:trPr>
        <w:tc>
          <w:tcPr>
            <w:tcW w:w="15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主管部门</w:t>
            </w:r>
          </w:p>
        </w:tc>
        <w:tc>
          <w:tcPr>
            <w:tcW w:w="414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10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实施单位</w:t>
            </w:r>
          </w:p>
        </w:tc>
        <w:tc>
          <w:tcPr>
            <w:tcW w:w="235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自贡市政协办公室</w:t>
            </w:r>
          </w:p>
        </w:tc>
      </w:tr>
      <w:tr>
        <w:tblPrEx>
          <w:tblCellMar>
            <w:top w:w="0" w:type="dxa"/>
            <w:left w:w="108" w:type="dxa"/>
            <w:bottom w:w="0" w:type="dxa"/>
            <w:right w:w="108" w:type="dxa"/>
          </w:tblCellMar>
        </w:tblPrEx>
        <w:trPr>
          <w:trHeight w:val="267" w:hRule="exact"/>
          <w:jc w:val="center"/>
        </w:trPr>
        <w:tc>
          <w:tcPr>
            <w:tcW w:w="152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项目资金</w:t>
            </w:r>
          </w:p>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（万元）</w:t>
            </w:r>
          </w:p>
        </w:tc>
        <w:tc>
          <w:tcPr>
            <w:tcW w:w="17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9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年初预算数</w:t>
            </w:r>
          </w:p>
        </w:tc>
        <w:tc>
          <w:tcPr>
            <w:tcW w:w="128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全年预算数</w:t>
            </w:r>
          </w:p>
        </w:tc>
        <w:tc>
          <w:tcPr>
            <w:tcW w:w="110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全年执行数</w:t>
            </w:r>
          </w:p>
        </w:tc>
        <w:tc>
          <w:tcPr>
            <w:tcW w:w="68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分值</w:t>
            </w:r>
          </w:p>
        </w:tc>
        <w:tc>
          <w:tcPr>
            <w:tcW w:w="83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执行率</w:t>
            </w:r>
          </w:p>
        </w:tc>
        <w:tc>
          <w:tcPr>
            <w:tcW w:w="84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得分</w:t>
            </w:r>
          </w:p>
        </w:tc>
      </w:tr>
      <w:tr>
        <w:tblPrEx>
          <w:tblCellMar>
            <w:top w:w="0" w:type="dxa"/>
            <w:left w:w="108" w:type="dxa"/>
            <w:bottom w:w="0" w:type="dxa"/>
            <w:right w:w="108" w:type="dxa"/>
          </w:tblCellMar>
        </w:tblPrEx>
        <w:trPr>
          <w:trHeight w:val="267" w:hRule="exact"/>
          <w:jc w:val="center"/>
        </w:trPr>
        <w:tc>
          <w:tcPr>
            <w:tcW w:w="15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7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年度资金总额</w:t>
            </w:r>
          </w:p>
        </w:tc>
        <w:tc>
          <w:tcPr>
            <w:tcW w:w="109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112.92</w:t>
            </w:r>
          </w:p>
        </w:tc>
        <w:tc>
          <w:tcPr>
            <w:tcW w:w="128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112.92</w:t>
            </w:r>
          </w:p>
        </w:tc>
        <w:tc>
          <w:tcPr>
            <w:tcW w:w="110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112.92</w:t>
            </w:r>
          </w:p>
        </w:tc>
        <w:tc>
          <w:tcPr>
            <w:tcW w:w="68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10</w:t>
            </w:r>
          </w:p>
        </w:tc>
        <w:tc>
          <w:tcPr>
            <w:tcW w:w="83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100%</w:t>
            </w:r>
          </w:p>
        </w:tc>
        <w:tc>
          <w:tcPr>
            <w:tcW w:w="84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10</w:t>
            </w:r>
          </w:p>
        </w:tc>
      </w:tr>
      <w:tr>
        <w:tblPrEx>
          <w:tblCellMar>
            <w:top w:w="0" w:type="dxa"/>
            <w:left w:w="108" w:type="dxa"/>
            <w:bottom w:w="0" w:type="dxa"/>
            <w:right w:w="108" w:type="dxa"/>
          </w:tblCellMar>
        </w:tblPrEx>
        <w:trPr>
          <w:trHeight w:val="267" w:hRule="exact"/>
          <w:jc w:val="center"/>
        </w:trPr>
        <w:tc>
          <w:tcPr>
            <w:tcW w:w="15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7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其中：当年财政拨款</w:t>
            </w:r>
          </w:p>
        </w:tc>
        <w:tc>
          <w:tcPr>
            <w:tcW w:w="109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112.92</w:t>
            </w:r>
          </w:p>
        </w:tc>
        <w:tc>
          <w:tcPr>
            <w:tcW w:w="128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112.92</w:t>
            </w:r>
          </w:p>
        </w:tc>
        <w:tc>
          <w:tcPr>
            <w:tcW w:w="110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112.92</w:t>
            </w:r>
          </w:p>
        </w:tc>
        <w:tc>
          <w:tcPr>
            <w:tcW w:w="68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w:t>
            </w:r>
          </w:p>
        </w:tc>
        <w:tc>
          <w:tcPr>
            <w:tcW w:w="83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100%</w:t>
            </w:r>
          </w:p>
        </w:tc>
        <w:tc>
          <w:tcPr>
            <w:tcW w:w="84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w:t>
            </w:r>
          </w:p>
        </w:tc>
      </w:tr>
      <w:tr>
        <w:tblPrEx>
          <w:tblCellMar>
            <w:top w:w="0" w:type="dxa"/>
            <w:left w:w="108" w:type="dxa"/>
            <w:bottom w:w="0" w:type="dxa"/>
            <w:right w:w="108" w:type="dxa"/>
          </w:tblCellMar>
        </w:tblPrEx>
        <w:trPr>
          <w:trHeight w:val="267" w:hRule="exact"/>
          <w:jc w:val="center"/>
        </w:trPr>
        <w:tc>
          <w:tcPr>
            <w:tcW w:w="15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7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上年结转资金</w:t>
            </w:r>
          </w:p>
        </w:tc>
        <w:tc>
          <w:tcPr>
            <w:tcW w:w="109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w:t>
            </w:r>
          </w:p>
        </w:tc>
        <w:tc>
          <w:tcPr>
            <w:tcW w:w="128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w:t>
            </w:r>
          </w:p>
        </w:tc>
        <w:tc>
          <w:tcPr>
            <w:tcW w:w="110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w:t>
            </w:r>
          </w:p>
        </w:tc>
        <w:tc>
          <w:tcPr>
            <w:tcW w:w="68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w:t>
            </w:r>
          </w:p>
        </w:tc>
        <w:tc>
          <w:tcPr>
            <w:tcW w:w="83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84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w:t>
            </w:r>
          </w:p>
        </w:tc>
      </w:tr>
      <w:tr>
        <w:tblPrEx>
          <w:tblCellMar>
            <w:top w:w="0" w:type="dxa"/>
            <w:left w:w="108" w:type="dxa"/>
            <w:bottom w:w="0" w:type="dxa"/>
            <w:right w:w="108" w:type="dxa"/>
          </w:tblCellMar>
        </w:tblPrEx>
        <w:trPr>
          <w:trHeight w:val="267" w:hRule="exact"/>
          <w:jc w:val="center"/>
        </w:trPr>
        <w:tc>
          <w:tcPr>
            <w:tcW w:w="15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7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其他资金</w:t>
            </w:r>
          </w:p>
        </w:tc>
        <w:tc>
          <w:tcPr>
            <w:tcW w:w="109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w:t>
            </w:r>
          </w:p>
        </w:tc>
        <w:tc>
          <w:tcPr>
            <w:tcW w:w="128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w:t>
            </w:r>
          </w:p>
        </w:tc>
        <w:tc>
          <w:tcPr>
            <w:tcW w:w="110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w:t>
            </w:r>
          </w:p>
        </w:tc>
        <w:tc>
          <w:tcPr>
            <w:tcW w:w="68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w:t>
            </w:r>
          </w:p>
        </w:tc>
        <w:tc>
          <w:tcPr>
            <w:tcW w:w="83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84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w:t>
            </w:r>
          </w:p>
        </w:tc>
      </w:tr>
      <w:tr>
        <w:tblPrEx>
          <w:tblCellMar>
            <w:top w:w="0" w:type="dxa"/>
            <w:left w:w="108" w:type="dxa"/>
            <w:bottom w:w="0" w:type="dxa"/>
            <w:right w:w="108" w:type="dxa"/>
          </w:tblCellMar>
        </w:tblPrEx>
        <w:trPr>
          <w:trHeight w:val="267" w:hRule="exact"/>
          <w:jc w:val="center"/>
        </w:trPr>
        <w:tc>
          <w:tcPr>
            <w:tcW w:w="57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6"/>
                <w:szCs w:val="16"/>
              </w:rPr>
              <w:t>年度总体目标</w:t>
            </w:r>
          </w:p>
        </w:tc>
        <w:tc>
          <w:tcPr>
            <w:tcW w:w="509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预期目标</w:t>
            </w:r>
          </w:p>
        </w:tc>
        <w:tc>
          <w:tcPr>
            <w:tcW w:w="3464"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实际完成情况</w:t>
            </w:r>
          </w:p>
        </w:tc>
      </w:tr>
      <w:tr>
        <w:tblPrEx>
          <w:tblCellMar>
            <w:top w:w="0" w:type="dxa"/>
            <w:left w:w="108" w:type="dxa"/>
            <w:bottom w:w="0" w:type="dxa"/>
            <w:right w:w="108" w:type="dxa"/>
          </w:tblCellMar>
        </w:tblPrEx>
        <w:trPr>
          <w:trHeight w:val="852" w:hRule="exact"/>
          <w:jc w:val="center"/>
        </w:trPr>
        <w:tc>
          <w:tcPr>
            <w:tcW w:w="5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09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按年初制定的调研、视察课题任务进行履职，并提出可行性建议意见；按照年初各界别小组活动计划，开展委员和界别小组活动。</w:t>
            </w:r>
          </w:p>
        </w:tc>
        <w:tc>
          <w:tcPr>
            <w:tcW w:w="3464"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sz w:val="18"/>
                <w:szCs w:val="18"/>
              </w:rPr>
              <w:t>围绕全市中心工作开展调研视察和履职活动，建议意见转化为工作举措，部分得到领导肯定性批示。</w:t>
            </w:r>
          </w:p>
        </w:tc>
      </w:tr>
      <w:tr>
        <w:tblPrEx>
          <w:tblCellMar>
            <w:top w:w="0" w:type="dxa"/>
            <w:left w:w="108" w:type="dxa"/>
            <w:bottom w:w="0" w:type="dxa"/>
            <w:right w:w="108" w:type="dxa"/>
          </w:tblCellMar>
        </w:tblPrEx>
        <w:trPr>
          <w:trHeight w:val="267" w:hRule="exact"/>
          <w:jc w:val="center"/>
        </w:trPr>
        <w:tc>
          <w:tcPr>
            <w:tcW w:w="570" w:type="dxa"/>
            <w:vMerge w:val="restart"/>
            <w:tcBorders>
              <w:top w:val="nil"/>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绩</w:t>
            </w:r>
          </w:p>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效</w:t>
            </w:r>
          </w:p>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指</w:t>
            </w:r>
          </w:p>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标</w:t>
            </w:r>
          </w:p>
        </w:tc>
        <w:tc>
          <w:tcPr>
            <w:tcW w:w="9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一级指标</w:t>
            </w:r>
          </w:p>
        </w:tc>
        <w:tc>
          <w:tcPr>
            <w:tcW w:w="106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二级指标</w:t>
            </w:r>
          </w:p>
        </w:tc>
        <w:tc>
          <w:tcPr>
            <w:tcW w:w="161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三级指标</w:t>
            </w:r>
          </w:p>
        </w:tc>
        <w:tc>
          <w:tcPr>
            <w:tcW w:w="145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年度</w:t>
            </w:r>
          </w:p>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指标值</w:t>
            </w:r>
          </w:p>
        </w:tc>
        <w:tc>
          <w:tcPr>
            <w:tcW w:w="83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实际</w:t>
            </w:r>
          </w:p>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完成值</w:t>
            </w: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分值</w:t>
            </w:r>
          </w:p>
        </w:tc>
        <w:tc>
          <w:tcPr>
            <w:tcW w:w="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得分</w:t>
            </w:r>
          </w:p>
        </w:tc>
        <w:tc>
          <w:tcPr>
            <w:tcW w:w="15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偏差原因分析及改进措施</w:t>
            </w:r>
          </w:p>
        </w:tc>
      </w:tr>
      <w:tr>
        <w:tblPrEx>
          <w:tblCellMar>
            <w:top w:w="0" w:type="dxa"/>
            <w:left w:w="108" w:type="dxa"/>
            <w:bottom w:w="0" w:type="dxa"/>
            <w:right w:w="108" w:type="dxa"/>
          </w:tblCellMar>
        </w:tblPrEx>
        <w:trPr>
          <w:trHeight w:val="359" w:hRule="exact"/>
          <w:jc w:val="center"/>
        </w:trPr>
        <w:tc>
          <w:tcPr>
            <w:tcW w:w="570"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50" w:type="dxa"/>
            <w:vMerge w:val="restart"/>
            <w:tcBorders>
              <w:top w:val="nil"/>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完成指标（分值共50分）</w:t>
            </w:r>
          </w:p>
        </w:tc>
        <w:tc>
          <w:tcPr>
            <w:tcW w:w="106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数量指标</w:t>
            </w:r>
          </w:p>
        </w:tc>
        <w:tc>
          <w:tcPr>
            <w:tcW w:w="161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指标1：开展重点调研</w:t>
            </w:r>
          </w:p>
        </w:tc>
        <w:tc>
          <w:tcPr>
            <w:tcW w:w="145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10次</w:t>
            </w:r>
          </w:p>
        </w:tc>
        <w:tc>
          <w:tcPr>
            <w:tcW w:w="83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rPr>
              <w:t>1</w:t>
            </w:r>
            <w:r>
              <w:rPr>
                <w:rFonts w:hint="eastAsia" w:eastAsia="宋体" w:cs="Times New Roman"/>
                <w:kern w:val="0"/>
                <w:sz w:val="18"/>
                <w:szCs w:val="18"/>
                <w:lang w:val="en-US" w:eastAsia="zh-CN"/>
              </w:rPr>
              <w:t>5</w:t>
            </w: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10</w:t>
            </w:r>
          </w:p>
        </w:tc>
        <w:tc>
          <w:tcPr>
            <w:tcW w:w="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10</w:t>
            </w:r>
          </w:p>
        </w:tc>
        <w:tc>
          <w:tcPr>
            <w:tcW w:w="15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385" w:hRule="exact"/>
          <w:jc w:val="center"/>
        </w:trPr>
        <w:tc>
          <w:tcPr>
            <w:tcW w:w="570"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50"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6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61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指标2：开展</w:t>
            </w:r>
            <w:r>
              <w:rPr>
                <w:rFonts w:hint="eastAsia" w:ascii="Times New Roman" w:hAnsi="Times New Roman" w:eastAsia="宋体" w:cs="Times New Roman"/>
                <w:kern w:val="0"/>
                <w:sz w:val="15"/>
                <w:szCs w:val="15"/>
                <w:lang w:eastAsia="zh-CN"/>
              </w:rPr>
              <w:t>各类</w:t>
            </w:r>
            <w:r>
              <w:rPr>
                <w:rFonts w:hint="default" w:ascii="Times New Roman" w:hAnsi="Times New Roman" w:eastAsia="宋体" w:cs="Times New Roman"/>
                <w:kern w:val="0"/>
                <w:sz w:val="15"/>
                <w:szCs w:val="15"/>
              </w:rPr>
              <w:t>视察</w:t>
            </w:r>
          </w:p>
        </w:tc>
        <w:tc>
          <w:tcPr>
            <w:tcW w:w="145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5"/>
                <w:szCs w:val="15"/>
              </w:rPr>
              <w:t>20-30</w:t>
            </w:r>
            <w:r>
              <w:rPr>
                <w:rFonts w:hint="default" w:ascii="Times New Roman" w:hAnsi="Times New Roman" w:eastAsia="宋体" w:cs="Times New Roman"/>
                <w:kern w:val="0"/>
                <w:sz w:val="18"/>
                <w:szCs w:val="18"/>
              </w:rPr>
              <w:t>次</w:t>
            </w:r>
          </w:p>
        </w:tc>
        <w:tc>
          <w:tcPr>
            <w:tcW w:w="83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60</w:t>
            </w: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10</w:t>
            </w:r>
          </w:p>
        </w:tc>
        <w:tc>
          <w:tcPr>
            <w:tcW w:w="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10</w:t>
            </w:r>
          </w:p>
        </w:tc>
        <w:tc>
          <w:tcPr>
            <w:tcW w:w="15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679" w:hRule="exact"/>
          <w:jc w:val="center"/>
        </w:trPr>
        <w:tc>
          <w:tcPr>
            <w:tcW w:w="570"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50"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68" w:type="dxa"/>
            <w:vMerge w:val="restart"/>
            <w:tcBorders>
              <w:top w:val="nil"/>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质量指标</w:t>
            </w:r>
          </w:p>
        </w:tc>
        <w:tc>
          <w:tcPr>
            <w:tcW w:w="161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指标1：质量指标</w:t>
            </w:r>
          </w:p>
        </w:tc>
        <w:tc>
          <w:tcPr>
            <w:tcW w:w="1456" w:type="dxa"/>
            <w:gridSpan w:val="2"/>
            <w:tcBorders>
              <w:top w:val="nil"/>
              <w:left w:val="nil"/>
              <w:bottom w:val="single" w:color="auto" w:sz="4" w:space="0"/>
              <w:right w:val="single" w:color="auto" w:sz="4" w:space="0"/>
            </w:tcBorders>
            <w:noWrap w:val="0"/>
            <w:vAlign w:val="center"/>
          </w:tcPr>
          <w:p>
            <w:pPr>
              <w:widowControl/>
              <w:spacing w:line="20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5"/>
                <w:szCs w:val="15"/>
              </w:rPr>
              <w:t>高质量完成各类调研、视察任务。</w:t>
            </w:r>
          </w:p>
        </w:tc>
        <w:tc>
          <w:tcPr>
            <w:tcW w:w="83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完成目标值</w:t>
            </w: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10</w:t>
            </w:r>
          </w:p>
        </w:tc>
        <w:tc>
          <w:tcPr>
            <w:tcW w:w="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10</w:t>
            </w:r>
          </w:p>
        </w:tc>
        <w:tc>
          <w:tcPr>
            <w:tcW w:w="15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267" w:hRule="exact"/>
          <w:jc w:val="center"/>
        </w:trPr>
        <w:tc>
          <w:tcPr>
            <w:tcW w:w="570"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50"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6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61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45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83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5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267" w:hRule="exact"/>
          <w:jc w:val="center"/>
        </w:trPr>
        <w:tc>
          <w:tcPr>
            <w:tcW w:w="570"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50"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68" w:type="dxa"/>
            <w:vMerge w:val="restart"/>
            <w:tcBorders>
              <w:top w:val="nil"/>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时效指标</w:t>
            </w:r>
          </w:p>
        </w:tc>
        <w:tc>
          <w:tcPr>
            <w:tcW w:w="161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指标1：</w:t>
            </w:r>
          </w:p>
        </w:tc>
        <w:tc>
          <w:tcPr>
            <w:tcW w:w="145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83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5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267" w:hRule="exact"/>
          <w:jc w:val="center"/>
        </w:trPr>
        <w:tc>
          <w:tcPr>
            <w:tcW w:w="570"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50"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6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61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45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83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5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490" w:hRule="exact"/>
          <w:jc w:val="center"/>
        </w:trPr>
        <w:tc>
          <w:tcPr>
            <w:tcW w:w="570"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50"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68" w:type="dxa"/>
            <w:vMerge w:val="restart"/>
            <w:tcBorders>
              <w:top w:val="nil"/>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成本指标</w:t>
            </w:r>
          </w:p>
        </w:tc>
        <w:tc>
          <w:tcPr>
            <w:tcW w:w="161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指标1：成本控制</w:t>
            </w:r>
          </w:p>
        </w:tc>
        <w:tc>
          <w:tcPr>
            <w:tcW w:w="1456" w:type="dxa"/>
            <w:gridSpan w:val="2"/>
            <w:tcBorders>
              <w:top w:val="nil"/>
              <w:left w:val="nil"/>
              <w:bottom w:val="single" w:color="auto" w:sz="4" w:space="0"/>
              <w:right w:val="single" w:color="auto" w:sz="4" w:space="0"/>
            </w:tcBorders>
            <w:noWrap w:val="0"/>
            <w:vAlign w:val="center"/>
          </w:tcPr>
          <w:p>
            <w:pPr>
              <w:widowControl/>
              <w:spacing w:line="20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5"/>
                <w:szCs w:val="15"/>
              </w:rPr>
              <w:t>严格按照有关财经制度执行。</w:t>
            </w:r>
          </w:p>
        </w:tc>
        <w:tc>
          <w:tcPr>
            <w:tcW w:w="83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完成目标值</w:t>
            </w: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20</w:t>
            </w:r>
          </w:p>
        </w:tc>
        <w:tc>
          <w:tcPr>
            <w:tcW w:w="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20</w:t>
            </w:r>
          </w:p>
        </w:tc>
        <w:tc>
          <w:tcPr>
            <w:tcW w:w="15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267" w:hRule="exact"/>
          <w:jc w:val="center"/>
        </w:trPr>
        <w:tc>
          <w:tcPr>
            <w:tcW w:w="570"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5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6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61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45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83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5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1375" w:hRule="exact"/>
          <w:jc w:val="center"/>
        </w:trPr>
        <w:tc>
          <w:tcPr>
            <w:tcW w:w="570"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5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效益指标（分值共30分）</w:t>
            </w:r>
          </w:p>
        </w:tc>
        <w:tc>
          <w:tcPr>
            <w:tcW w:w="1068"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经济效益</w:t>
            </w:r>
          </w:p>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指标</w:t>
            </w:r>
          </w:p>
        </w:tc>
        <w:tc>
          <w:tcPr>
            <w:tcW w:w="161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指标1：经济效益</w:t>
            </w:r>
          </w:p>
        </w:tc>
        <w:tc>
          <w:tcPr>
            <w:tcW w:w="1456"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通过调研、视察，充分发挥委员主体作用和界别桥梁作用，调动委员的积极性，为党委政府科学决策贡献“金点子”。</w:t>
            </w:r>
          </w:p>
        </w:tc>
        <w:tc>
          <w:tcPr>
            <w:tcW w:w="83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完成目标值</w:t>
            </w: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w:t>
            </w:r>
          </w:p>
        </w:tc>
        <w:tc>
          <w:tcPr>
            <w:tcW w:w="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w:t>
            </w:r>
          </w:p>
        </w:tc>
        <w:tc>
          <w:tcPr>
            <w:tcW w:w="15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972" w:hRule="exact"/>
          <w:jc w:val="center"/>
        </w:trPr>
        <w:tc>
          <w:tcPr>
            <w:tcW w:w="570"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68"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社会效益</w:t>
            </w:r>
          </w:p>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指标</w:t>
            </w:r>
          </w:p>
        </w:tc>
        <w:tc>
          <w:tcPr>
            <w:tcW w:w="161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指标1：社会效益</w:t>
            </w:r>
          </w:p>
        </w:tc>
        <w:tc>
          <w:tcPr>
            <w:tcW w:w="1456"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5"/>
                <w:szCs w:val="15"/>
              </w:rPr>
              <w:t>通过履职成果的转化，化解社会矛盾、解决民生热点难点问题，促进社会和谐发展。</w:t>
            </w:r>
          </w:p>
        </w:tc>
        <w:tc>
          <w:tcPr>
            <w:tcW w:w="83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完成目标值</w:t>
            </w: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w:t>
            </w:r>
          </w:p>
        </w:tc>
        <w:tc>
          <w:tcPr>
            <w:tcW w:w="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w:t>
            </w:r>
          </w:p>
        </w:tc>
        <w:tc>
          <w:tcPr>
            <w:tcW w:w="15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267" w:hRule="exact"/>
          <w:jc w:val="center"/>
        </w:trPr>
        <w:tc>
          <w:tcPr>
            <w:tcW w:w="570"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6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生态效益</w:t>
            </w:r>
          </w:p>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指标</w:t>
            </w:r>
          </w:p>
        </w:tc>
        <w:tc>
          <w:tcPr>
            <w:tcW w:w="161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指标1：</w:t>
            </w:r>
          </w:p>
        </w:tc>
        <w:tc>
          <w:tcPr>
            <w:tcW w:w="145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83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5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267" w:hRule="exact"/>
          <w:jc w:val="center"/>
        </w:trPr>
        <w:tc>
          <w:tcPr>
            <w:tcW w:w="570"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6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61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45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83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5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267" w:hRule="exact"/>
          <w:jc w:val="center"/>
        </w:trPr>
        <w:tc>
          <w:tcPr>
            <w:tcW w:w="570"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6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可持续影响指标</w:t>
            </w:r>
          </w:p>
        </w:tc>
        <w:tc>
          <w:tcPr>
            <w:tcW w:w="161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指标1：</w:t>
            </w:r>
          </w:p>
        </w:tc>
        <w:tc>
          <w:tcPr>
            <w:tcW w:w="145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83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5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267" w:hRule="exact"/>
          <w:jc w:val="center"/>
        </w:trPr>
        <w:tc>
          <w:tcPr>
            <w:tcW w:w="570"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6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61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45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83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5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534" w:hRule="exact"/>
          <w:jc w:val="center"/>
        </w:trPr>
        <w:tc>
          <w:tcPr>
            <w:tcW w:w="570"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50" w:type="dxa"/>
            <w:vMerge w:val="restart"/>
            <w:tcBorders>
              <w:top w:val="nil"/>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满意度</w:t>
            </w:r>
          </w:p>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5"/>
                <w:szCs w:val="15"/>
              </w:rPr>
              <w:t>指标（分值共10分）</w:t>
            </w:r>
          </w:p>
        </w:tc>
        <w:tc>
          <w:tcPr>
            <w:tcW w:w="106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服务对象满意度指标</w:t>
            </w:r>
          </w:p>
        </w:tc>
        <w:tc>
          <w:tcPr>
            <w:tcW w:w="161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指标1：服务对象满意度</w:t>
            </w:r>
          </w:p>
        </w:tc>
        <w:tc>
          <w:tcPr>
            <w:tcW w:w="145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5"/>
                <w:szCs w:val="15"/>
              </w:rPr>
            </w:pPr>
            <w:r>
              <w:rPr>
                <w:rFonts w:hint="default" w:ascii="Times New Roman" w:hAnsi="Times New Roman" w:eastAsia="宋体" w:cs="Times New Roman"/>
                <w:color w:val="000000"/>
                <w:kern w:val="0"/>
                <w:sz w:val="15"/>
                <w:szCs w:val="15"/>
              </w:rPr>
              <w:t>90%以上</w:t>
            </w:r>
          </w:p>
        </w:tc>
        <w:tc>
          <w:tcPr>
            <w:tcW w:w="83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5"/>
                <w:szCs w:val="15"/>
              </w:rPr>
              <w:t>基本完成指标值</w:t>
            </w: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10</w:t>
            </w:r>
          </w:p>
        </w:tc>
        <w:tc>
          <w:tcPr>
            <w:tcW w:w="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9</w:t>
            </w:r>
          </w:p>
        </w:tc>
        <w:tc>
          <w:tcPr>
            <w:tcW w:w="15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368" w:hRule="exact"/>
          <w:jc w:val="center"/>
        </w:trPr>
        <w:tc>
          <w:tcPr>
            <w:tcW w:w="57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5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6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61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45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83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5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312" w:hRule="exact"/>
          <w:jc w:val="center"/>
        </w:trPr>
        <w:tc>
          <w:tcPr>
            <w:tcW w:w="6492"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总分</w:t>
            </w: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100</w:t>
            </w:r>
          </w:p>
        </w:tc>
        <w:tc>
          <w:tcPr>
            <w:tcW w:w="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99</w:t>
            </w:r>
          </w:p>
        </w:tc>
        <w:tc>
          <w:tcPr>
            <w:tcW w:w="15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bl>
    <w:p>
      <w:pPr>
        <w:widowControl/>
        <w:spacing w:line="592" w:lineRule="exact"/>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备注：预算执行分值为10分、产出指标分值为50分、效益指标分值为30分、满意度指标分值为10分。</w:t>
      </w:r>
    </w:p>
    <w:tbl>
      <w:tblPr>
        <w:tblStyle w:val="13"/>
        <w:tblpPr w:leftFromText="180" w:rightFromText="180" w:vertAnchor="text" w:horzAnchor="page" w:tblpX="1526" w:tblpY="101"/>
        <w:tblOverlap w:val="never"/>
        <w:tblW w:w="9197" w:type="dxa"/>
        <w:tblInd w:w="0" w:type="dxa"/>
        <w:tblLayout w:type="autofit"/>
        <w:tblCellMar>
          <w:top w:w="0" w:type="dxa"/>
          <w:left w:w="108" w:type="dxa"/>
          <w:bottom w:w="0" w:type="dxa"/>
          <w:right w:w="108" w:type="dxa"/>
        </w:tblCellMar>
      </w:tblPr>
      <w:tblGrid>
        <w:gridCol w:w="575"/>
        <w:gridCol w:w="961"/>
        <w:gridCol w:w="1089"/>
        <w:gridCol w:w="715"/>
        <w:gridCol w:w="1059"/>
        <w:gridCol w:w="52"/>
        <w:gridCol w:w="1576"/>
        <w:gridCol w:w="666"/>
        <w:gridCol w:w="278"/>
        <w:gridCol w:w="277"/>
        <w:gridCol w:w="416"/>
        <w:gridCol w:w="139"/>
        <w:gridCol w:w="694"/>
        <w:gridCol w:w="700"/>
      </w:tblGrid>
      <w:tr>
        <w:tblPrEx>
          <w:tblCellMar>
            <w:top w:w="0" w:type="dxa"/>
            <w:left w:w="108" w:type="dxa"/>
            <w:bottom w:w="0" w:type="dxa"/>
            <w:right w:w="108" w:type="dxa"/>
          </w:tblCellMar>
        </w:tblPrEx>
        <w:trPr>
          <w:trHeight w:val="558" w:hRule="exact"/>
        </w:trPr>
        <w:tc>
          <w:tcPr>
            <w:tcW w:w="9197" w:type="dxa"/>
            <w:gridSpan w:val="14"/>
            <w:tcBorders>
              <w:top w:val="nil"/>
              <w:left w:val="nil"/>
              <w:bottom w:val="nil"/>
              <w:right w:val="nil"/>
            </w:tcBorders>
            <w:noWrap w:val="0"/>
            <w:vAlign w:val="center"/>
          </w:tcPr>
          <w:p>
            <w:pPr>
              <w:widowControl/>
              <w:spacing w:line="360" w:lineRule="exact"/>
              <w:jc w:val="center"/>
              <w:rPr>
                <w:rFonts w:hint="default" w:ascii="Times New Roman" w:hAnsi="Times New Roman" w:eastAsia="宋体" w:cs="Times New Roman"/>
                <w:b/>
                <w:bCs/>
                <w:kern w:val="0"/>
                <w:szCs w:val="32"/>
              </w:rPr>
            </w:pPr>
            <w:r>
              <w:rPr>
                <w:rFonts w:hint="default" w:ascii="Times New Roman" w:hAnsi="Times New Roman" w:eastAsia="方正小标宋简体" w:cs="Times New Roman"/>
                <w:bCs/>
                <w:color w:val="000000"/>
                <w:kern w:val="0"/>
                <w:szCs w:val="32"/>
              </w:rPr>
              <w:t>自贡市政协办公室项目支出绩效自评表</w:t>
            </w:r>
          </w:p>
        </w:tc>
      </w:tr>
      <w:tr>
        <w:tblPrEx>
          <w:tblCellMar>
            <w:top w:w="0" w:type="dxa"/>
            <w:left w:w="108" w:type="dxa"/>
            <w:bottom w:w="0" w:type="dxa"/>
            <w:right w:w="108" w:type="dxa"/>
          </w:tblCellMar>
        </w:tblPrEx>
        <w:trPr>
          <w:trHeight w:val="306" w:hRule="atLeast"/>
        </w:trPr>
        <w:tc>
          <w:tcPr>
            <w:tcW w:w="9197" w:type="dxa"/>
            <w:gridSpan w:val="14"/>
            <w:tcBorders>
              <w:top w:val="nil"/>
              <w:left w:val="nil"/>
              <w:bottom w:val="nil"/>
              <w:right w:val="nil"/>
            </w:tcBorders>
            <w:noWrap w:val="0"/>
            <w:vAlign w:val="top"/>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（2021年度）</w:t>
            </w:r>
          </w:p>
        </w:tc>
      </w:tr>
      <w:tr>
        <w:tblPrEx>
          <w:tblCellMar>
            <w:top w:w="0" w:type="dxa"/>
            <w:left w:w="108" w:type="dxa"/>
            <w:bottom w:w="0" w:type="dxa"/>
            <w:right w:w="108" w:type="dxa"/>
          </w:tblCellMar>
        </w:tblPrEx>
        <w:trPr>
          <w:trHeight w:val="615" w:hRule="exact"/>
        </w:trPr>
        <w:tc>
          <w:tcPr>
            <w:tcW w:w="153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项目名称</w:t>
            </w:r>
          </w:p>
        </w:tc>
        <w:tc>
          <w:tcPr>
            <w:tcW w:w="7661"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ind w:firstLine="1680" w:firstLineChars="800"/>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21"/>
                <w:szCs w:val="21"/>
              </w:rPr>
              <w:t>市政协机关履职工作经费</w:t>
            </w:r>
          </w:p>
        </w:tc>
      </w:tr>
      <w:tr>
        <w:tblPrEx>
          <w:tblCellMar>
            <w:top w:w="0" w:type="dxa"/>
            <w:left w:w="108" w:type="dxa"/>
            <w:bottom w:w="0" w:type="dxa"/>
            <w:right w:w="108" w:type="dxa"/>
          </w:tblCellMar>
        </w:tblPrEx>
        <w:trPr>
          <w:trHeight w:val="267" w:hRule="exact"/>
        </w:trPr>
        <w:tc>
          <w:tcPr>
            <w:tcW w:w="153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主管部门</w:t>
            </w:r>
          </w:p>
        </w:tc>
        <w:tc>
          <w:tcPr>
            <w:tcW w:w="44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4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实施单位</w:t>
            </w:r>
          </w:p>
        </w:tc>
        <w:tc>
          <w:tcPr>
            <w:tcW w:w="222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自贡市政协办公室</w:t>
            </w:r>
          </w:p>
        </w:tc>
      </w:tr>
      <w:tr>
        <w:tblPrEx>
          <w:tblCellMar>
            <w:top w:w="0" w:type="dxa"/>
            <w:left w:w="108" w:type="dxa"/>
            <w:bottom w:w="0" w:type="dxa"/>
            <w:right w:w="108" w:type="dxa"/>
          </w:tblCellMar>
        </w:tblPrEx>
        <w:trPr>
          <w:trHeight w:val="267" w:hRule="exact"/>
        </w:trPr>
        <w:tc>
          <w:tcPr>
            <w:tcW w:w="153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项目资金</w:t>
            </w:r>
          </w:p>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1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年初预算数</w:t>
            </w:r>
          </w:p>
        </w:tc>
        <w:tc>
          <w:tcPr>
            <w:tcW w:w="157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全年预算数</w:t>
            </w:r>
          </w:p>
        </w:tc>
        <w:tc>
          <w:tcPr>
            <w:tcW w:w="94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全年执行数</w:t>
            </w:r>
          </w:p>
        </w:tc>
        <w:tc>
          <w:tcPr>
            <w:tcW w:w="6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分值</w:t>
            </w:r>
          </w:p>
        </w:tc>
        <w:tc>
          <w:tcPr>
            <w:tcW w:w="83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执行率</w:t>
            </w:r>
          </w:p>
        </w:tc>
        <w:tc>
          <w:tcPr>
            <w:tcW w:w="70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得分</w:t>
            </w:r>
          </w:p>
        </w:tc>
      </w:tr>
      <w:tr>
        <w:tblPrEx>
          <w:tblCellMar>
            <w:top w:w="0" w:type="dxa"/>
            <w:left w:w="108" w:type="dxa"/>
            <w:bottom w:w="0" w:type="dxa"/>
            <w:right w:w="108" w:type="dxa"/>
          </w:tblCellMar>
        </w:tblPrEx>
        <w:trPr>
          <w:trHeight w:val="267" w:hRule="exact"/>
        </w:trPr>
        <w:tc>
          <w:tcPr>
            <w:tcW w:w="15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年度资金总额</w:t>
            </w:r>
          </w:p>
        </w:tc>
        <w:tc>
          <w:tcPr>
            <w:tcW w:w="11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34.58</w:t>
            </w:r>
          </w:p>
        </w:tc>
        <w:tc>
          <w:tcPr>
            <w:tcW w:w="157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34.58</w:t>
            </w:r>
          </w:p>
        </w:tc>
        <w:tc>
          <w:tcPr>
            <w:tcW w:w="94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34.58</w:t>
            </w:r>
          </w:p>
        </w:tc>
        <w:tc>
          <w:tcPr>
            <w:tcW w:w="6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10</w:t>
            </w:r>
          </w:p>
        </w:tc>
        <w:tc>
          <w:tcPr>
            <w:tcW w:w="83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100%</w:t>
            </w:r>
          </w:p>
        </w:tc>
        <w:tc>
          <w:tcPr>
            <w:tcW w:w="70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10</w:t>
            </w:r>
          </w:p>
        </w:tc>
      </w:tr>
      <w:tr>
        <w:tblPrEx>
          <w:tblCellMar>
            <w:top w:w="0" w:type="dxa"/>
            <w:left w:w="108" w:type="dxa"/>
            <w:bottom w:w="0" w:type="dxa"/>
            <w:right w:w="108" w:type="dxa"/>
          </w:tblCellMar>
        </w:tblPrEx>
        <w:trPr>
          <w:trHeight w:val="267" w:hRule="exact"/>
        </w:trPr>
        <w:tc>
          <w:tcPr>
            <w:tcW w:w="15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其中：当年财政拨款</w:t>
            </w:r>
          </w:p>
        </w:tc>
        <w:tc>
          <w:tcPr>
            <w:tcW w:w="11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34.58</w:t>
            </w:r>
          </w:p>
        </w:tc>
        <w:tc>
          <w:tcPr>
            <w:tcW w:w="157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34.58</w:t>
            </w:r>
          </w:p>
        </w:tc>
        <w:tc>
          <w:tcPr>
            <w:tcW w:w="94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34.58</w:t>
            </w:r>
          </w:p>
        </w:tc>
        <w:tc>
          <w:tcPr>
            <w:tcW w:w="6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w:t>
            </w:r>
          </w:p>
        </w:tc>
        <w:tc>
          <w:tcPr>
            <w:tcW w:w="83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100%</w:t>
            </w:r>
          </w:p>
        </w:tc>
        <w:tc>
          <w:tcPr>
            <w:tcW w:w="70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w:t>
            </w:r>
          </w:p>
        </w:tc>
      </w:tr>
      <w:tr>
        <w:tblPrEx>
          <w:tblCellMar>
            <w:top w:w="0" w:type="dxa"/>
            <w:left w:w="108" w:type="dxa"/>
            <w:bottom w:w="0" w:type="dxa"/>
            <w:right w:w="108" w:type="dxa"/>
          </w:tblCellMar>
        </w:tblPrEx>
        <w:trPr>
          <w:trHeight w:val="267" w:hRule="exact"/>
        </w:trPr>
        <w:tc>
          <w:tcPr>
            <w:tcW w:w="15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上年结转资金</w:t>
            </w:r>
          </w:p>
        </w:tc>
        <w:tc>
          <w:tcPr>
            <w:tcW w:w="11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w:t>
            </w:r>
          </w:p>
        </w:tc>
        <w:tc>
          <w:tcPr>
            <w:tcW w:w="157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w:t>
            </w:r>
          </w:p>
        </w:tc>
        <w:tc>
          <w:tcPr>
            <w:tcW w:w="94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w:t>
            </w:r>
          </w:p>
        </w:tc>
        <w:tc>
          <w:tcPr>
            <w:tcW w:w="6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w:t>
            </w:r>
          </w:p>
        </w:tc>
        <w:tc>
          <w:tcPr>
            <w:tcW w:w="83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70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w:t>
            </w:r>
          </w:p>
        </w:tc>
      </w:tr>
      <w:tr>
        <w:tblPrEx>
          <w:tblCellMar>
            <w:top w:w="0" w:type="dxa"/>
            <w:left w:w="108" w:type="dxa"/>
            <w:bottom w:w="0" w:type="dxa"/>
            <w:right w:w="108" w:type="dxa"/>
          </w:tblCellMar>
        </w:tblPrEx>
        <w:trPr>
          <w:trHeight w:val="267" w:hRule="exact"/>
        </w:trPr>
        <w:tc>
          <w:tcPr>
            <w:tcW w:w="15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其他资金</w:t>
            </w:r>
          </w:p>
        </w:tc>
        <w:tc>
          <w:tcPr>
            <w:tcW w:w="11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w:t>
            </w:r>
          </w:p>
        </w:tc>
        <w:tc>
          <w:tcPr>
            <w:tcW w:w="157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w:t>
            </w:r>
          </w:p>
        </w:tc>
        <w:tc>
          <w:tcPr>
            <w:tcW w:w="94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w:t>
            </w:r>
          </w:p>
        </w:tc>
        <w:tc>
          <w:tcPr>
            <w:tcW w:w="6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w:t>
            </w:r>
          </w:p>
        </w:tc>
        <w:tc>
          <w:tcPr>
            <w:tcW w:w="83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70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w:t>
            </w:r>
          </w:p>
        </w:tc>
      </w:tr>
      <w:tr>
        <w:tblPrEx>
          <w:tblCellMar>
            <w:top w:w="0" w:type="dxa"/>
            <w:left w:w="108" w:type="dxa"/>
            <w:bottom w:w="0" w:type="dxa"/>
            <w:right w:w="108" w:type="dxa"/>
          </w:tblCellMar>
        </w:tblPrEx>
        <w:trPr>
          <w:trHeight w:val="267" w:hRule="exact"/>
        </w:trPr>
        <w:tc>
          <w:tcPr>
            <w:tcW w:w="57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年度总体目标</w:t>
            </w:r>
          </w:p>
        </w:tc>
        <w:tc>
          <w:tcPr>
            <w:tcW w:w="545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预期目标</w:t>
            </w:r>
          </w:p>
        </w:tc>
        <w:tc>
          <w:tcPr>
            <w:tcW w:w="3170"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实际完成情况</w:t>
            </w:r>
          </w:p>
        </w:tc>
      </w:tr>
      <w:tr>
        <w:tblPrEx>
          <w:tblCellMar>
            <w:top w:w="0" w:type="dxa"/>
            <w:left w:w="108" w:type="dxa"/>
            <w:bottom w:w="0" w:type="dxa"/>
            <w:right w:w="108" w:type="dxa"/>
          </w:tblCellMar>
        </w:tblPrEx>
        <w:trPr>
          <w:trHeight w:val="792" w:hRule="exact"/>
        </w:trPr>
        <w:tc>
          <w:tcPr>
            <w:tcW w:w="57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45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21"/>
                <w:szCs w:val="21"/>
              </w:rPr>
              <w:t>按照年度工作计划，完成各类履职工作。</w:t>
            </w:r>
          </w:p>
        </w:tc>
        <w:tc>
          <w:tcPr>
            <w:tcW w:w="3170"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sz w:val="21"/>
                <w:szCs w:val="21"/>
              </w:rPr>
              <w:t>完成目标值</w:t>
            </w:r>
          </w:p>
        </w:tc>
      </w:tr>
      <w:tr>
        <w:tblPrEx>
          <w:tblCellMar>
            <w:top w:w="0" w:type="dxa"/>
            <w:left w:w="108" w:type="dxa"/>
            <w:bottom w:w="0" w:type="dxa"/>
            <w:right w:w="108" w:type="dxa"/>
          </w:tblCellMar>
        </w:tblPrEx>
        <w:trPr>
          <w:trHeight w:val="267" w:hRule="exact"/>
        </w:trPr>
        <w:tc>
          <w:tcPr>
            <w:tcW w:w="575" w:type="dxa"/>
            <w:vMerge w:val="restart"/>
            <w:tcBorders>
              <w:top w:val="nil"/>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绩</w:t>
            </w:r>
          </w:p>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效</w:t>
            </w:r>
          </w:p>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指</w:t>
            </w:r>
          </w:p>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标</w:t>
            </w:r>
          </w:p>
        </w:tc>
        <w:tc>
          <w:tcPr>
            <w:tcW w:w="96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一级指标</w:t>
            </w:r>
          </w:p>
        </w:tc>
        <w:tc>
          <w:tcPr>
            <w:tcW w:w="108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二级指标</w:t>
            </w:r>
          </w:p>
        </w:tc>
        <w:tc>
          <w:tcPr>
            <w:tcW w:w="17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三级指标</w:t>
            </w:r>
          </w:p>
        </w:tc>
        <w:tc>
          <w:tcPr>
            <w:tcW w:w="162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年度</w:t>
            </w:r>
          </w:p>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指标值</w:t>
            </w:r>
          </w:p>
        </w:tc>
        <w:tc>
          <w:tcPr>
            <w:tcW w:w="66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实际</w:t>
            </w:r>
          </w:p>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完成值</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分值</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得分</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偏差原因分析及改进措施</w:t>
            </w:r>
          </w:p>
        </w:tc>
      </w:tr>
      <w:tr>
        <w:tblPrEx>
          <w:tblCellMar>
            <w:top w:w="0" w:type="dxa"/>
            <w:left w:w="108" w:type="dxa"/>
            <w:bottom w:w="0" w:type="dxa"/>
            <w:right w:w="108" w:type="dxa"/>
          </w:tblCellMar>
        </w:tblPrEx>
        <w:trPr>
          <w:trHeight w:val="906" w:hRule="exact"/>
        </w:trPr>
        <w:tc>
          <w:tcPr>
            <w:tcW w:w="57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6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完成指标（分值共50分）</w:t>
            </w:r>
          </w:p>
        </w:tc>
        <w:tc>
          <w:tcPr>
            <w:tcW w:w="108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数量指标</w:t>
            </w:r>
          </w:p>
        </w:tc>
        <w:tc>
          <w:tcPr>
            <w:tcW w:w="17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指标1：成果转化</w:t>
            </w:r>
          </w:p>
        </w:tc>
        <w:tc>
          <w:tcPr>
            <w:tcW w:w="1628" w:type="dxa"/>
            <w:gridSpan w:val="2"/>
            <w:tcBorders>
              <w:top w:val="nil"/>
              <w:left w:val="nil"/>
              <w:bottom w:val="single" w:color="auto" w:sz="4" w:space="0"/>
              <w:right w:val="single" w:color="auto" w:sz="4" w:space="0"/>
            </w:tcBorders>
            <w:noWrap w:val="0"/>
            <w:vAlign w:val="center"/>
          </w:tcPr>
          <w:p>
            <w:pPr>
              <w:widowControl/>
              <w:spacing w:line="200" w:lineRule="exact"/>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完成《优秀提案选编》《委员履职实例》《优秀调研报告》及机关日常资料编印。</w:t>
            </w:r>
          </w:p>
        </w:tc>
        <w:tc>
          <w:tcPr>
            <w:tcW w:w="66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完成目标值</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452" w:hRule="exact"/>
        </w:trPr>
        <w:tc>
          <w:tcPr>
            <w:tcW w:w="57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6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8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7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指标2：</w:t>
            </w:r>
          </w:p>
        </w:tc>
        <w:tc>
          <w:tcPr>
            <w:tcW w:w="1628" w:type="dxa"/>
            <w:gridSpan w:val="2"/>
            <w:tcBorders>
              <w:top w:val="nil"/>
              <w:left w:val="nil"/>
              <w:bottom w:val="single" w:color="auto" w:sz="4" w:space="0"/>
              <w:right w:val="single" w:color="auto" w:sz="4" w:space="0"/>
            </w:tcBorders>
            <w:noWrap w:val="0"/>
            <w:vAlign w:val="center"/>
          </w:tcPr>
          <w:p>
            <w:pPr>
              <w:widowControl/>
              <w:spacing w:line="200" w:lineRule="exact"/>
              <w:jc w:val="center"/>
              <w:rPr>
                <w:rFonts w:hint="default" w:ascii="Times New Roman" w:hAnsi="Times New Roman" w:eastAsia="宋体" w:cs="Times New Roman"/>
                <w:kern w:val="0"/>
                <w:sz w:val="15"/>
                <w:szCs w:val="15"/>
              </w:rPr>
            </w:pPr>
          </w:p>
        </w:tc>
        <w:tc>
          <w:tcPr>
            <w:tcW w:w="66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267" w:hRule="exact"/>
        </w:trPr>
        <w:tc>
          <w:tcPr>
            <w:tcW w:w="57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6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8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7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62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66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761" w:hRule="exact"/>
        </w:trPr>
        <w:tc>
          <w:tcPr>
            <w:tcW w:w="57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6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8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质量指标</w:t>
            </w:r>
          </w:p>
        </w:tc>
        <w:tc>
          <w:tcPr>
            <w:tcW w:w="17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指标1：成果转化率</w:t>
            </w:r>
          </w:p>
        </w:tc>
        <w:tc>
          <w:tcPr>
            <w:tcW w:w="1628" w:type="dxa"/>
            <w:gridSpan w:val="2"/>
            <w:tcBorders>
              <w:top w:val="nil"/>
              <w:left w:val="nil"/>
              <w:bottom w:val="single" w:color="auto" w:sz="4" w:space="0"/>
              <w:right w:val="single" w:color="auto" w:sz="4" w:space="0"/>
            </w:tcBorders>
            <w:noWrap w:val="0"/>
            <w:vAlign w:val="center"/>
          </w:tcPr>
          <w:p>
            <w:pPr>
              <w:widowControl/>
              <w:spacing w:line="200" w:lineRule="exact"/>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成果转化率100%，并形成高质量的调研报告，供领导决策</w:t>
            </w:r>
          </w:p>
        </w:tc>
        <w:tc>
          <w:tcPr>
            <w:tcW w:w="66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5"/>
                <w:szCs w:val="15"/>
              </w:rPr>
              <w:t>完成目标值</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267" w:hRule="exact"/>
        </w:trPr>
        <w:tc>
          <w:tcPr>
            <w:tcW w:w="57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6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8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7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62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66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342" w:hRule="exact"/>
        </w:trPr>
        <w:tc>
          <w:tcPr>
            <w:tcW w:w="57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6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89"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时效指标</w:t>
            </w:r>
          </w:p>
        </w:tc>
        <w:tc>
          <w:tcPr>
            <w:tcW w:w="17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指标1：</w:t>
            </w:r>
          </w:p>
        </w:tc>
        <w:tc>
          <w:tcPr>
            <w:tcW w:w="162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66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798" w:hRule="exact"/>
        </w:trPr>
        <w:tc>
          <w:tcPr>
            <w:tcW w:w="57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6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8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成本指标</w:t>
            </w:r>
          </w:p>
        </w:tc>
        <w:tc>
          <w:tcPr>
            <w:tcW w:w="17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指标1：成本控制</w:t>
            </w:r>
          </w:p>
        </w:tc>
        <w:tc>
          <w:tcPr>
            <w:tcW w:w="1628" w:type="dxa"/>
            <w:gridSpan w:val="2"/>
            <w:tcBorders>
              <w:top w:val="nil"/>
              <w:left w:val="nil"/>
              <w:bottom w:val="single" w:color="auto" w:sz="4" w:space="0"/>
              <w:right w:val="single" w:color="auto" w:sz="4" w:space="0"/>
            </w:tcBorders>
            <w:noWrap w:val="0"/>
            <w:vAlign w:val="center"/>
          </w:tcPr>
          <w:p>
            <w:pPr>
              <w:widowControl/>
              <w:spacing w:line="20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5"/>
                <w:szCs w:val="15"/>
              </w:rPr>
              <w:t>严格按照机关各项财经纪律规定执行。目标值34.58万元</w:t>
            </w:r>
          </w:p>
        </w:tc>
        <w:tc>
          <w:tcPr>
            <w:tcW w:w="66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完成目标值</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20</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267" w:hRule="exact"/>
        </w:trPr>
        <w:tc>
          <w:tcPr>
            <w:tcW w:w="57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6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8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7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62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66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675" w:hRule="exact"/>
        </w:trPr>
        <w:tc>
          <w:tcPr>
            <w:tcW w:w="57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6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效益指标（分值共30分）</w:t>
            </w:r>
          </w:p>
        </w:tc>
        <w:tc>
          <w:tcPr>
            <w:tcW w:w="108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经济效益</w:t>
            </w:r>
          </w:p>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指标</w:t>
            </w:r>
          </w:p>
        </w:tc>
        <w:tc>
          <w:tcPr>
            <w:tcW w:w="17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指标1：经济效益</w:t>
            </w:r>
          </w:p>
        </w:tc>
        <w:tc>
          <w:tcPr>
            <w:tcW w:w="1628" w:type="dxa"/>
            <w:gridSpan w:val="2"/>
            <w:tcBorders>
              <w:top w:val="nil"/>
              <w:left w:val="nil"/>
              <w:bottom w:val="single" w:color="auto" w:sz="4" w:space="0"/>
              <w:right w:val="single" w:color="auto" w:sz="4" w:space="0"/>
            </w:tcBorders>
            <w:noWrap w:val="0"/>
            <w:vAlign w:val="center"/>
          </w:tcPr>
          <w:p>
            <w:pPr>
              <w:widowControl/>
              <w:spacing w:line="200" w:lineRule="exact"/>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结合政协履职工作开展，为我市经济发展献计献策</w:t>
            </w:r>
          </w:p>
        </w:tc>
        <w:tc>
          <w:tcPr>
            <w:tcW w:w="66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完成目标值</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267" w:hRule="exact"/>
        </w:trPr>
        <w:tc>
          <w:tcPr>
            <w:tcW w:w="57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6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8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7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62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66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542" w:hRule="exact"/>
        </w:trPr>
        <w:tc>
          <w:tcPr>
            <w:tcW w:w="57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6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8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社会效益</w:t>
            </w:r>
          </w:p>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指标</w:t>
            </w:r>
          </w:p>
        </w:tc>
        <w:tc>
          <w:tcPr>
            <w:tcW w:w="17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指标1：社会效益</w:t>
            </w:r>
          </w:p>
        </w:tc>
        <w:tc>
          <w:tcPr>
            <w:tcW w:w="1628" w:type="dxa"/>
            <w:gridSpan w:val="2"/>
            <w:tcBorders>
              <w:top w:val="nil"/>
              <w:left w:val="nil"/>
              <w:bottom w:val="single" w:color="auto" w:sz="4" w:space="0"/>
              <w:right w:val="single" w:color="auto" w:sz="4" w:space="0"/>
            </w:tcBorders>
            <w:noWrap w:val="0"/>
            <w:vAlign w:val="center"/>
          </w:tcPr>
          <w:p>
            <w:pPr>
              <w:widowControl/>
              <w:spacing w:line="20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5"/>
                <w:szCs w:val="15"/>
              </w:rPr>
              <w:t>围绕社会焦点、热点问题，履职尽责</w:t>
            </w:r>
          </w:p>
        </w:tc>
        <w:tc>
          <w:tcPr>
            <w:tcW w:w="66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完成目标值</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267" w:hRule="exact"/>
        </w:trPr>
        <w:tc>
          <w:tcPr>
            <w:tcW w:w="57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6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8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7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62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66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387" w:hRule="exact"/>
        </w:trPr>
        <w:tc>
          <w:tcPr>
            <w:tcW w:w="57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6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89"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生态效益</w:t>
            </w:r>
          </w:p>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指标</w:t>
            </w:r>
          </w:p>
        </w:tc>
        <w:tc>
          <w:tcPr>
            <w:tcW w:w="17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指标1：</w:t>
            </w:r>
          </w:p>
        </w:tc>
        <w:tc>
          <w:tcPr>
            <w:tcW w:w="162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66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387" w:hRule="exact"/>
        </w:trPr>
        <w:tc>
          <w:tcPr>
            <w:tcW w:w="57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6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89"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可持续影响指标</w:t>
            </w:r>
          </w:p>
        </w:tc>
        <w:tc>
          <w:tcPr>
            <w:tcW w:w="17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指标1：</w:t>
            </w:r>
          </w:p>
        </w:tc>
        <w:tc>
          <w:tcPr>
            <w:tcW w:w="162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66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587" w:hRule="exact"/>
        </w:trPr>
        <w:tc>
          <w:tcPr>
            <w:tcW w:w="57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61" w:type="dxa"/>
            <w:tcBorders>
              <w:top w:val="nil"/>
              <w:left w:val="single" w:color="auto" w:sz="4" w:space="0"/>
              <w:right w:val="single" w:color="auto" w:sz="4" w:space="0"/>
            </w:tcBorders>
            <w:noWrap w:val="0"/>
            <w:vAlign w:val="center"/>
          </w:tcPr>
          <w:p>
            <w:pPr>
              <w:widowControl/>
              <w:spacing w:line="200" w:lineRule="exact"/>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满意度</w:t>
            </w:r>
          </w:p>
          <w:p>
            <w:pPr>
              <w:widowControl/>
              <w:spacing w:line="20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5"/>
                <w:szCs w:val="15"/>
              </w:rPr>
              <w:t>指标（分值共10分）</w:t>
            </w:r>
          </w:p>
        </w:tc>
        <w:tc>
          <w:tcPr>
            <w:tcW w:w="1089" w:type="dxa"/>
            <w:tcBorders>
              <w:top w:val="nil"/>
              <w:left w:val="single" w:color="auto" w:sz="4" w:space="0"/>
              <w:bottom w:val="single" w:color="auto" w:sz="4" w:space="0"/>
              <w:right w:val="single" w:color="auto" w:sz="4" w:space="0"/>
            </w:tcBorders>
            <w:noWrap w:val="0"/>
            <w:vAlign w:val="center"/>
          </w:tcPr>
          <w:p>
            <w:pPr>
              <w:widowControl/>
              <w:spacing w:line="20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5"/>
                <w:szCs w:val="15"/>
              </w:rPr>
              <w:t>服务对象满意度指标</w:t>
            </w:r>
          </w:p>
        </w:tc>
        <w:tc>
          <w:tcPr>
            <w:tcW w:w="17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指标1：服务对象满意度</w:t>
            </w:r>
          </w:p>
        </w:tc>
        <w:tc>
          <w:tcPr>
            <w:tcW w:w="162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90%以上</w:t>
            </w:r>
          </w:p>
        </w:tc>
        <w:tc>
          <w:tcPr>
            <w:tcW w:w="66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基本完成目标值</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10</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9</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312" w:hRule="exact"/>
        </w:trPr>
        <w:tc>
          <w:tcPr>
            <w:tcW w:w="6693"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总分</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100</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99</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bl>
    <w:p>
      <w:pPr>
        <w:widowControl/>
        <w:spacing w:line="592" w:lineRule="exact"/>
        <w:jc w:val="left"/>
        <w:rPr>
          <w:rFonts w:hint="default" w:ascii="Times New Roman" w:hAnsi="Times New Roman" w:cs="Times New Roman"/>
        </w:rPr>
      </w:pPr>
      <w:r>
        <w:rPr>
          <w:rFonts w:hint="default" w:ascii="Times New Roman" w:hAnsi="Times New Roman" w:eastAsia="宋体" w:cs="Times New Roman"/>
          <w:kern w:val="0"/>
          <w:sz w:val="18"/>
          <w:szCs w:val="18"/>
        </w:rPr>
        <w:t>备注：预算执行分值为10分、产出指标分值为50分、效益指标分值为30分、满意度指标分值为10分。</w:t>
      </w:r>
    </w:p>
    <w:tbl>
      <w:tblPr>
        <w:tblStyle w:val="13"/>
        <w:tblW w:w="9348" w:type="dxa"/>
        <w:jc w:val="center"/>
        <w:tblLayout w:type="autofit"/>
        <w:tblCellMar>
          <w:top w:w="0" w:type="dxa"/>
          <w:left w:w="108" w:type="dxa"/>
          <w:bottom w:w="0" w:type="dxa"/>
          <w:right w:w="108" w:type="dxa"/>
        </w:tblCellMar>
      </w:tblPr>
      <w:tblGrid>
        <w:gridCol w:w="575"/>
        <w:gridCol w:w="961"/>
        <w:gridCol w:w="1089"/>
        <w:gridCol w:w="715"/>
        <w:gridCol w:w="1059"/>
        <w:gridCol w:w="52"/>
        <w:gridCol w:w="1560"/>
        <w:gridCol w:w="833"/>
        <w:gridCol w:w="278"/>
        <w:gridCol w:w="277"/>
        <w:gridCol w:w="416"/>
        <w:gridCol w:w="139"/>
        <w:gridCol w:w="694"/>
        <w:gridCol w:w="700"/>
      </w:tblGrid>
      <w:tr>
        <w:tblPrEx>
          <w:tblCellMar>
            <w:top w:w="0" w:type="dxa"/>
            <w:left w:w="108" w:type="dxa"/>
            <w:bottom w:w="0" w:type="dxa"/>
            <w:right w:w="108" w:type="dxa"/>
          </w:tblCellMar>
        </w:tblPrEx>
        <w:trPr>
          <w:trHeight w:val="558" w:hRule="exact"/>
          <w:jc w:val="center"/>
        </w:trPr>
        <w:tc>
          <w:tcPr>
            <w:tcW w:w="9348" w:type="dxa"/>
            <w:gridSpan w:val="14"/>
            <w:tcBorders>
              <w:top w:val="nil"/>
              <w:left w:val="nil"/>
              <w:bottom w:val="nil"/>
              <w:right w:val="nil"/>
            </w:tcBorders>
            <w:noWrap w:val="0"/>
            <w:vAlign w:val="center"/>
          </w:tcPr>
          <w:p>
            <w:pPr>
              <w:widowControl/>
              <w:spacing w:line="360" w:lineRule="exact"/>
              <w:jc w:val="center"/>
              <w:rPr>
                <w:rFonts w:hint="default" w:ascii="Times New Roman" w:hAnsi="Times New Roman" w:eastAsia="宋体" w:cs="Times New Roman"/>
                <w:b/>
                <w:bCs/>
                <w:kern w:val="0"/>
                <w:szCs w:val="32"/>
              </w:rPr>
            </w:pPr>
            <w:r>
              <w:rPr>
                <w:rFonts w:hint="default" w:ascii="Times New Roman" w:hAnsi="Times New Roman" w:eastAsia="方正小标宋简体" w:cs="Times New Roman"/>
                <w:bCs/>
                <w:color w:val="000000"/>
                <w:kern w:val="0"/>
                <w:szCs w:val="32"/>
              </w:rPr>
              <w:t>自贡市政协办公室项目支出绩效自评表</w:t>
            </w:r>
          </w:p>
        </w:tc>
      </w:tr>
      <w:tr>
        <w:tblPrEx>
          <w:tblCellMar>
            <w:top w:w="0" w:type="dxa"/>
            <w:left w:w="108" w:type="dxa"/>
            <w:bottom w:w="0" w:type="dxa"/>
            <w:right w:w="108" w:type="dxa"/>
          </w:tblCellMar>
        </w:tblPrEx>
        <w:trPr>
          <w:trHeight w:val="306" w:hRule="atLeast"/>
          <w:jc w:val="center"/>
        </w:trPr>
        <w:tc>
          <w:tcPr>
            <w:tcW w:w="9348" w:type="dxa"/>
            <w:gridSpan w:val="14"/>
            <w:tcBorders>
              <w:top w:val="nil"/>
              <w:left w:val="nil"/>
              <w:bottom w:val="nil"/>
              <w:right w:val="nil"/>
            </w:tcBorders>
            <w:noWrap w:val="0"/>
            <w:vAlign w:val="top"/>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（2021年度）</w:t>
            </w:r>
          </w:p>
        </w:tc>
      </w:tr>
      <w:tr>
        <w:tblPrEx>
          <w:tblCellMar>
            <w:top w:w="0" w:type="dxa"/>
            <w:left w:w="108" w:type="dxa"/>
            <w:bottom w:w="0" w:type="dxa"/>
            <w:right w:w="108" w:type="dxa"/>
          </w:tblCellMar>
        </w:tblPrEx>
        <w:trPr>
          <w:trHeight w:val="366" w:hRule="exact"/>
          <w:jc w:val="center"/>
        </w:trPr>
        <w:tc>
          <w:tcPr>
            <w:tcW w:w="153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项目名称</w:t>
            </w:r>
          </w:p>
        </w:tc>
        <w:tc>
          <w:tcPr>
            <w:tcW w:w="78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ind w:firstLine="1890" w:firstLineChars="900"/>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21"/>
                <w:szCs w:val="21"/>
              </w:rPr>
              <w:t>市政协培训费专项经费</w:t>
            </w:r>
          </w:p>
        </w:tc>
      </w:tr>
      <w:tr>
        <w:tblPrEx>
          <w:tblCellMar>
            <w:top w:w="0" w:type="dxa"/>
            <w:left w:w="108" w:type="dxa"/>
            <w:bottom w:w="0" w:type="dxa"/>
            <w:right w:w="108" w:type="dxa"/>
          </w:tblCellMar>
        </w:tblPrEx>
        <w:trPr>
          <w:trHeight w:val="342" w:hRule="exact"/>
          <w:jc w:val="center"/>
        </w:trPr>
        <w:tc>
          <w:tcPr>
            <w:tcW w:w="153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主管部门</w:t>
            </w:r>
          </w:p>
        </w:tc>
        <w:tc>
          <w:tcPr>
            <w:tcW w:w="447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1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实施单位</w:t>
            </w:r>
          </w:p>
        </w:tc>
        <w:tc>
          <w:tcPr>
            <w:tcW w:w="222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自贡市政协办公室</w:t>
            </w:r>
          </w:p>
        </w:tc>
      </w:tr>
      <w:tr>
        <w:tblPrEx>
          <w:tblCellMar>
            <w:top w:w="0" w:type="dxa"/>
            <w:left w:w="108" w:type="dxa"/>
            <w:bottom w:w="0" w:type="dxa"/>
            <w:right w:w="108" w:type="dxa"/>
          </w:tblCellMar>
        </w:tblPrEx>
        <w:trPr>
          <w:trHeight w:val="267" w:hRule="exact"/>
          <w:jc w:val="center"/>
        </w:trPr>
        <w:tc>
          <w:tcPr>
            <w:tcW w:w="153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项目资金</w:t>
            </w:r>
          </w:p>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1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年初预算数</w:t>
            </w:r>
          </w:p>
        </w:tc>
        <w:tc>
          <w:tcPr>
            <w:tcW w:w="156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全年预算数</w:t>
            </w:r>
          </w:p>
        </w:tc>
        <w:tc>
          <w:tcPr>
            <w:tcW w:w="11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全年执行数</w:t>
            </w:r>
          </w:p>
        </w:tc>
        <w:tc>
          <w:tcPr>
            <w:tcW w:w="6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分值</w:t>
            </w:r>
          </w:p>
        </w:tc>
        <w:tc>
          <w:tcPr>
            <w:tcW w:w="83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执行率</w:t>
            </w:r>
          </w:p>
        </w:tc>
        <w:tc>
          <w:tcPr>
            <w:tcW w:w="70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得分</w:t>
            </w:r>
          </w:p>
        </w:tc>
      </w:tr>
      <w:tr>
        <w:tblPrEx>
          <w:tblCellMar>
            <w:top w:w="0" w:type="dxa"/>
            <w:left w:w="108" w:type="dxa"/>
            <w:bottom w:w="0" w:type="dxa"/>
            <w:right w:w="108" w:type="dxa"/>
          </w:tblCellMar>
        </w:tblPrEx>
        <w:trPr>
          <w:trHeight w:val="267" w:hRule="exact"/>
          <w:jc w:val="center"/>
        </w:trPr>
        <w:tc>
          <w:tcPr>
            <w:tcW w:w="15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年度资金总额</w:t>
            </w:r>
          </w:p>
        </w:tc>
        <w:tc>
          <w:tcPr>
            <w:tcW w:w="11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20</w:t>
            </w:r>
          </w:p>
        </w:tc>
        <w:tc>
          <w:tcPr>
            <w:tcW w:w="156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20</w:t>
            </w:r>
          </w:p>
        </w:tc>
        <w:tc>
          <w:tcPr>
            <w:tcW w:w="11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20</w:t>
            </w:r>
          </w:p>
        </w:tc>
        <w:tc>
          <w:tcPr>
            <w:tcW w:w="6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10</w:t>
            </w:r>
          </w:p>
        </w:tc>
        <w:tc>
          <w:tcPr>
            <w:tcW w:w="83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100%</w:t>
            </w:r>
          </w:p>
        </w:tc>
        <w:tc>
          <w:tcPr>
            <w:tcW w:w="70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10</w:t>
            </w:r>
          </w:p>
        </w:tc>
      </w:tr>
      <w:tr>
        <w:tblPrEx>
          <w:tblCellMar>
            <w:top w:w="0" w:type="dxa"/>
            <w:left w:w="108" w:type="dxa"/>
            <w:bottom w:w="0" w:type="dxa"/>
            <w:right w:w="108" w:type="dxa"/>
          </w:tblCellMar>
        </w:tblPrEx>
        <w:trPr>
          <w:trHeight w:val="267" w:hRule="exact"/>
          <w:jc w:val="center"/>
        </w:trPr>
        <w:tc>
          <w:tcPr>
            <w:tcW w:w="15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其中：当年财政拨款</w:t>
            </w:r>
          </w:p>
        </w:tc>
        <w:tc>
          <w:tcPr>
            <w:tcW w:w="11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20</w:t>
            </w:r>
          </w:p>
        </w:tc>
        <w:tc>
          <w:tcPr>
            <w:tcW w:w="156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20</w:t>
            </w:r>
          </w:p>
        </w:tc>
        <w:tc>
          <w:tcPr>
            <w:tcW w:w="11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20</w:t>
            </w:r>
          </w:p>
        </w:tc>
        <w:tc>
          <w:tcPr>
            <w:tcW w:w="6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w:t>
            </w:r>
          </w:p>
        </w:tc>
        <w:tc>
          <w:tcPr>
            <w:tcW w:w="83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100%</w:t>
            </w:r>
          </w:p>
        </w:tc>
        <w:tc>
          <w:tcPr>
            <w:tcW w:w="70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w:t>
            </w:r>
          </w:p>
        </w:tc>
      </w:tr>
      <w:tr>
        <w:tblPrEx>
          <w:tblCellMar>
            <w:top w:w="0" w:type="dxa"/>
            <w:left w:w="108" w:type="dxa"/>
            <w:bottom w:w="0" w:type="dxa"/>
            <w:right w:w="108" w:type="dxa"/>
          </w:tblCellMar>
        </w:tblPrEx>
        <w:trPr>
          <w:trHeight w:val="267" w:hRule="exact"/>
          <w:jc w:val="center"/>
        </w:trPr>
        <w:tc>
          <w:tcPr>
            <w:tcW w:w="15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上年结转资金</w:t>
            </w:r>
          </w:p>
        </w:tc>
        <w:tc>
          <w:tcPr>
            <w:tcW w:w="11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w:t>
            </w:r>
          </w:p>
        </w:tc>
        <w:tc>
          <w:tcPr>
            <w:tcW w:w="156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w:t>
            </w:r>
          </w:p>
        </w:tc>
        <w:tc>
          <w:tcPr>
            <w:tcW w:w="11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w:t>
            </w:r>
          </w:p>
        </w:tc>
        <w:tc>
          <w:tcPr>
            <w:tcW w:w="6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w:t>
            </w:r>
          </w:p>
        </w:tc>
        <w:tc>
          <w:tcPr>
            <w:tcW w:w="83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70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w:t>
            </w:r>
          </w:p>
        </w:tc>
      </w:tr>
      <w:tr>
        <w:tblPrEx>
          <w:tblCellMar>
            <w:top w:w="0" w:type="dxa"/>
            <w:left w:w="108" w:type="dxa"/>
            <w:bottom w:w="0" w:type="dxa"/>
            <w:right w:w="108" w:type="dxa"/>
          </w:tblCellMar>
        </w:tblPrEx>
        <w:trPr>
          <w:trHeight w:val="267" w:hRule="exact"/>
          <w:jc w:val="center"/>
        </w:trPr>
        <w:tc>
          <w:tcPr>
            <w:tcW w:w="15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其他资金</w:t>
            </w:r>
          </w:p>
        </w:tc>
        <w:tc>
          <w:tcPr>
            <w:tcW w:w="11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w:t>
            </w:r>
          </w:p>
        </w:tc>
        <w:tc>
          <w:tcPr>
            <w:tcW w:w="156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w:t>
            </w:r>
          </w:p>
        </w:tc>
        <w:tc>
          <w:tcPr>
            <w:tcW w:w="11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w:t>
            </w:r>
          </w:p>
        </w:tc>
        <w:tc>
          <w:tcPr>
            <w:tcW w:w="6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w:t>
            </w:r>
          </w:p>
        </w:tc>
        <w:tc>
          <w:tcPr>
            <w:tcW w:w="83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70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w:t>
            </w:r>
          </w:p>
        </w:tc>
      </w:tr>
      <w:tr>
        <w:tblPrEx>
          <w:tblCellMar>
            <w:top w:w="0" w:type="dxa"/>
            <w:left w:w="108" w:type="dxa"/>
            <w:bottom w:w="0" w:type="dxa"/>
            <w:right w:w="108" w:type="dxa"/>
          </w:tblCellMar>
        </w:tblPrEx>
        <w:trPr>
          <w:trHeight w:val="267" w:hRule="exact"/>
          <w:jc w:val="center"/>
        </w:trPr>
        <w:tc>
          <w:tcPr>
            <w:tcW w:w="57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6"/>
                <w:szCs w:val="16"/>
              </w:rPr>
              <w:t>年度总体目</w:t>
            </w:r>
            <w:r>
              <w:rPr>
                <w:rFonts w:hint="default" w:ascii="Times New Roman" w:hAnsi="Times New Roman" w:eastAsia="宋体" w:cs="Times New Roman"/>
                <w:kern w:val="0"/>
                <w:sz w:val="18"/>
                <w:szCs w:val="18"/>
              </w:rPr>
              <w:t>标</w:t>
            </w:r>
          </w:p>
        </w:tc>
        <w:tc>
          <w:tcPr>
            <w:tcW w:w="543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预期目标</w:t>
            </w:r>
          </w:p>
        </w:tc>
        <w:tc>
          <w:tcPr>
            <w:tcW w:w="333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实际完成情况</w:t>
            </w:r>
          </w:p>
        </w:tc>
      </w:tr>
      <w:tr>
        <w:tblPrEx>
          <w:tblCellMar>
            <w:top w:w="0" w:type="dxa"/>
            <w:left w:w="108" w:type="dxa"/>
            <w:bottom w:w="0" w:type="dxa"/>
            <w:right w:w="108" w:type="dxa"/>
          </w:tblCellMar>
        </w:tblPrEx>
        <w:trPr>
          <w:trHeight w:val="627" w:hRule="exact"/>
          <w:jc w:val="center"/>
        </w:trPr>
        <w:tc>
          <w:tcPr>
            <w:tcW w:w="57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436" w:type="dxa"/>
            <w:gridSpan w:val="6"/>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8"/>
                <w:szCs w:val="18"/>
              </w:rPr>
              <w:t>按照年初培训计划，开展机关干部职工和委员的培训工作。</w:t>
            </w:r>
          </w:p>
        </w:tc>
        <w:tc>
          <w:tcPr>
            <w:tcW w:w="3337" w:type="dxa"/>
            <w:gridSpan w:val="7"/>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6"/>
                <w:szCs w:val="16"/>
              </w:rPr>
              <w:t>今年培训支出主要用于</w:t>
            </w:r>
            <w:r>
              <w:rPr>
                <w:rFonts w:hint="default" w:ascii="Times New Roman" w:hAnsi="Times New Roman" w:eastAsia="宋体" w:cs="Times New Roman"/>
                <w:sz w:val="16"/>
                <w:szCs w:val="16"/>
              </w:rPr>
              <w:t>庆祝建党100周年系列活动，机关分六批次组织干部职工开展党史学习教育现场教学。</w:t>
            </w:r>
          </w:p>
        </w:tc>
      </w:tr>
      <w:tr>
        <w:tblPrEx>
          <w:tblCellMar>
            <w:top w:w="0" w:type="dxa"/>
            <w:left w:w="108" w:type="dxa"/>
            <w:bottom w:w="0" w:type="dxa"/>
            <w:right w:w="108" w:type="dxa"/>
          </w:tblCellMar>
        </w:tblPrEx>
        <w:trPr>
          <w:trHeight w:val="267" w:hRule="exact"/>
          <w:jc w:val="center"/>
        </w:trPr>
        <w:tc>
          <w:tcPr>
            <w:tcW w:w="575" w:type="dxa"/>
            <w:vMerge w:val="restart"/>
            <w:tcBorders>
              <w:top w:val="nil"/>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绩</w:t>
            </w:r>
          </w:p>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效</w:t>
            </w:r>
          </w:p>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指</w:t>
            </w:r>
          </w:p>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标</w:t>
            </w:r>
          </w:p>
        </w:tc>
        <w:tc>
          <w:tcPr>
            <w:tcW w:w="96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一级指标</w:t>
            </w:r>
          </w:p>
        </w:tc>
        <w:tc>
          <w:tcPr>
            <w:tcW w:w="108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二级指标</w:t>
            </w:r>
          </w:p>
        </w:tc>
        <w:tc>
          <w:tcPr>
            <w:tcW w:w="17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三级指标</w:t>
            </w:r>
          </w:p>
        </w:tc>
        <w:tc>
          <w:tcPr>
            <w:tcW w:w="16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年度</w:t>
            </w:r>
          </w:p>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指标值</w:t>
            </w:r>
          </w:p>
        </w:tc>
        <w:tc>
          <w:tcPr>
            <w:tcW w:w="83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实际</w:t>
            </w:r>
          </w:p>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完成值</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分值</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得分</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偏差原因分析及改进措施</w:t>
            </w:r>
          </w:p>
        </w:tc>
      </w:tr>
      <w:tr>
        <w:tblPrEx>
          <w:tblCellMar>
            <w:top w:w="0" w:type="dxa"/>
            <w:left w:w="108" w:type="dxa"/>
            <w:bottom w:w="0" w:type="dxa"/>
            <w:right w:w="108" w:type="dxa"/>
          </w:tblCellMar>
        </w:tblPrEx>
        <w:trPr>
          <w:trHeight w:val="818" w:hRule="exact"/>
          <w:jc w:val="center"/>
        </w:trPr>
        <w:tc>
          <w:tcPr>
            <w:tcW w:w="57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6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完成指标（分值共50分）</w:t>
            </w:r>
          </w:p>
        </w:tc>
        <w:tc>
          <w:tcPr>
            <w:tcW w:w="108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数量指标</w:t>
            </w:r>
          </w:p>
        </w:tc>
        <w:tc>
          <w:tcPr>
            <w:tcW w:w="17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指标1：培训人数</w:t>
            </w:r>
          </w:p>
        </w:tc>
        <w:tc>
          <w:tcPr>
            <w:tcW w:w="1612" w:type="dxa"/>
            <w:gridSpan w:val="2"/>
            <w:tcBorders>
              <w:top w:val="nil"/>
              <w:left w:val="nil"/>
              <w:bottom w:val="single" w:color="auto" w:sz="4" w:space="0"/>
              <w:right w:val="single" w:color="auto" w:sz="4" w:space="0"/>
            </w:tcBorders>
            <w:noWrap w:val="0"/>
            <w:vAlign w:val="center"/>
          </w:tcPr>
          <w:p>
            <w:pPr>
              <w:widowControl/>
              <w:spacing w:line="20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5"/>
                <w:szCs w:val="15"/>
              </w:rPr>
              <w:t>全国、省市政协培训15人次；各级各类培训8人次；党性培训30人次。</w:t>
            </w:r>
          </w:p>
        </w:tc>
        <w:tc>
          <w:tcPr>
            <w:tcW w:w="83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5"/>
                <w:szCs w:val="15"/>
              </w:rPr>
              <w:t>完成目标值</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267" w:hRule="exact"/>
          <w:jc w:val="center"/>
        </w:trPr>
        <w:tc>
          <w:tcPr>
            <w:tcW w:w="57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6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8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7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6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83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686" w:hRule="exact"/>
          <w:jc w:val="center"/>
        </w:trPr>
        <w:tc>
          <w:tcPr>
            <w:tcW w:w="57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6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8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质量指标</w:t>
            </w:r>
          </w:p>
        </w:tc>
        <w:tc>
          <w:tcPr>
            <w:tcW w:w="17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指标1：培训质量</w:t>
            </w:r>
          </w:p>
        </w:tc>
        <w:tc>
          <w:tcPr>
            <w:tcW w:w="1612"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高标准、高要求完成培训任务，合格率100%</w:t>
            </w:r>
          </w:p>
        </w:tc>
        <w:tc>
          <w:tcPr>
            <w:tcW w:w="833" w:type="dxa"/>
            <w:tcBorders>
              <w:top w:val="nil"/>
              <w:left w:val="nil"/>
              <w:bottom w:val="single" w:color="auto" w:sz="4" w:space="0"/>
              <w:right w:val="single" w:color="auto" w:sz="4" w:space="0"/>
            </w:tcBorders>
            <w:noWrap w:val="0"/>
            <w:vAlign w:val="center"/>
          </w:tcPr>
          <w:p>
            <w:pPr>
              <w:widowControl/>
              <w:spacing w:line="160" w:lineRule="exact"/>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完成目标值</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267" w:hRule="exact"/>
          <w:jc w:val="center"/>
        </w:trPr>
        <w:tc>
          <w:tcPr>
            <w:tcW w:w="57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6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8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7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612" w:type="dxa"/>
            <w:gridSpan w:val="2"/>
            <w:tcBorders>
              <w:top w:val="nil"/>
              <w:left w:val="nil"/>
              <w:bottom w:val="single" w:color="auto" w:sz="4" w:space="0"/>
              <w:right w:val="single" w:color="auto" w:sz="4" w:space="0"/>
            </w:tcBorders>
            <w:noWrap w:val="0"/>
            <w:vAlign w:val="center"/>
          </w:tcPr>
          <w:p>
            <w:pPr>
              <w:widowControl/>
              <w:spacing w:line="160" w:lineRule="exact"/>
              <w:jc w:val="center"/>
              <w:rPr>
                <w:rFonts w:hint="default" w:ascii="Times New Roman" w:hAnsi="Times New Roman" w:eastAsia="宋体" w:cs="Times New Roman"/>
                <w:kern w:val="0"/>
                <w:sz w:val="15"/>
                <w:szCs w:val="15"/>
              </w:rPr>
            </w:pPr>
          </w:p>
        </w:tc>
        <w:tc>
          <w:tcPr>
            <w:tcW w:w="833" w:type="dxa"/>
            <w:tcBorders>
              <w:top w:val="nil"/>
              <w:left w:val="nil"/>
              <w:bottom w:val="single" w:color="auto" w:sz="4" w:space="0"/>
              <w:right w:val="single" w:color="auto" w:sz="4" w:space="0"/>
            </w:tcBorders>
            <w:noWrap w:val="0"/>
            <w:vAlign w:val="center"/>
          </w:tcPr>
          <w:p>
            <w:pPr>
              <w:widowControl/>
              <w:spacing w:line="160" w:lineRule="exact"/>
              <w:jc w:val="center"/>
              <w:rPr>
                <w:rFonts w:hint="default" w:ascii="Times New Roman" w:hAnsi="Times New Roman" w:eastAsia="宋体" w:cs="Times New Roman"/>
                <w:kern w:val="0"/>
                <w:sz w:val="15"/>
                <w:szCs w:val="15"/>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267" w:hRule="exact"/>
          <w:jc w:val="center"/>
        </w:trPr>
        <w:tc>
          <w:tcPr>
            <w:tcW w:w="57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6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8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时效指标</w:t>
            </w:r>
          </w:p>
        </w:tc>
        <w:tc>
          <w:tcPr>
            <w:tcW w:w="17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指标1：</w:t>
            </w:r>
          </w:p>
        </w:tc>
        <w:tc>
          <w:tcPr>
            <w:tcW w:w="1612" w:type="dxa"/>
            <w:gridSpan w:val="2"/>
            <w:tcBorders>
              <w:top w:val="nil"/>
              <w:left w:val="nil"/>
              <w:bottom w:val="single" w:color="auto" w:sz="4" w:space="0"/>
              <w:right w:val="single" w:color="auto" w:sz="4" w:space="0"/>
            </w:tcBorders>
            <w:noWrap w:val="0"/>
            <w:vAlign w:val="center"/>
          </w:tcPr>
          <w:p>
            <w:pPr>
              <w:widowControl/>
              <w:spacing w:line="160" w:lineRule="exact"/>
              <w:jc w:val="center"/>
              <w:rPr>
                <w:rFonts w:hint="default" w:ascii="Times New Roman" w:hAnsi="Times New Roman" w:eastAsia="宋体" w:cs="Times New Roman"/>
                <w:kern w:val="0"/>
                <w:sz w:val="15"/>
                <w:szCs w:val="15"/>
              </w:rPr>
            </w:pPr>
          </w:p>
        </w:tc>
        <w:tc>
          <w:tcPr>
            <w:tcW w:w="833" w:type="dxa"/>
            <w:tcBorders>
              <w:top w:val="nil"/>
              <w:left w:val="nil"/>
              <w:bottom w:val="single" w:color="auto" w:sz="4" w:space="0"/>
              <w:right w:val="single" w:color="auto" w:sz="4" w:space="0"/>
            </w:tcBorders>
            <w:noWrap w:val="0"/>
            <w:vAlign w:val="center"/>
          </w:tcPr>
          <w:p>
            <w:pPr>
              <w:widowControl/>
              <w:spacing w:line="160" w:lineRule="exact"/>
              <w:jc w:val="center"/>
              <w:rPr>
                <w:rFonts w:hint="default" w:ascii="Times New Roman" w:hAnsi="Times New Roman" w:eastAsia="宋体" w:cs="Times New Roman"/>
                <w:kern w:val="0"/>
                <w:sz w:val="15"/>
                <w:szCs w:val="15"/>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267" w:hRule="exact"/>
          <w:jc w:val="center"/>
        </w:trPr>
        <w:tc>
          <w:tcPr>
            <w:tcW w:w="57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6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8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7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612" w:type="dxa"/>
            <w:gridSpan w:val="2"/>
            <w:tcBorders>
              <w:top w:val="nil"/>
              <w:left w:val="nil"/>
              <w:bottom w:val="single" w:color="auto" w:sz="4" w:space="0"/>
              <w:right w:val="single" w:color="auto" w:sz="4" w:space="0"/>
            </w:tcBorders>
            <w:noWrap w:val="0"/>
            <w:vAlign w:val="center"/>
          </w:tcPr>
          <w:p>
            <w:pPr>
              <w:widowControl/>
              <w:spacing w:line="160" w:lineRule="exact"/>
              <w:jc w:val="center"/>
              <w:rPr>
                <w:rFonts w:hint="default" w:ascii="Times New Roman" w:hAnsi="Times New Roman" w:eastAsia="宋体" w:cs="Times New Roman"/>
                <w:kern w:val="0"/>
                <w:sz w:val="15"/>
                <w:szCs w:val="15"/>
              </w:rPr>
            </w:pPr>
          </w:p>
        </w:tc>
        <w:tc>
          <w:tcPr>
            <w:tcW w:w="833" w:type="dxa"/>
            <w:tcBorders>
              <w:top w:val="nil"/>
              <w:left w:val="nil"/>
              <w:bottom w:val="single" w:color="auto" w:sz="4" w:space="0"/>
              <w:right w:val="single" w:color="auto" w:sz="4" w:space="0"/>
            </w:tcBorders>
            <w:noWrap w:val="0"/>
            <w:vAlign w:val="center"/>
          </w:tcPr>
          <w:p>
            <w:pPr>
              <w:widowControl/>
              <w:spacing w:line="160" w:lineRule="exact"/>
              <w:jc w:val="center"/>
              <w:rPr>
                <w:rFonts w:hint="default" w:ascii="Times New Roman" w:hAnsi="Times New Roman" w:eastAsia="宋体" w:cs="Times New Roman"/>
                <w:kern w:val="0"/>
                <w:sz w:val="15"/>
                <w:szCs w:val="15"/>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644" w:hRule="exact"/>
          <w:jc w:val="center"/>
        </w:trPr>
        <w:tc>
          <w:tcPr>
            <w:tcW w:w="57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6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8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成本指标</w:t>
            </w:r>
          </w:p>
        </w:tc>
        <w:tc>
          <w:tcPr>
            <w:tcW w:w="17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指标1：成本控制</w:t>
            </w:r>
          </w:p>
        </w:tc>
        <w:tc>
          <w:tcPr>
            <w:tcW w:w="1612" w:type="dxa"/>
            <w:gridSpan w:val="2"/>
            <w:tcBorders>
              <w:top w:val="nil"/>
              <w:left w:val="nil"/>
              <w:bottom w:val="single" w:color="auto" w:sz="4" w:space="0"/>
              <w:right w:val="single" w:color="auto" w:sz="4" w:space="0"/>
            </w:tcBorders>
            <w:noWrap w:val="0"/>
            <w:vAlign w:val="center"/>
          </w:tcPr>
          <w:p>
            <w:pPr>
              <w:widowControl/>
              <w:spacing w:line="20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5"/>
                <w:szCs w:val="15"/>
              </w:rPr>
              <w:t>严格按照机关各项财经纪律规定执行。目标值</w:t>
            </w:r>
            <w:r>
              <w:rPr>
                <w:rFonts w:hint="default" w:ascii="Times New Roman" w:hAnsi="Times New Roman" w:eastAsia="宋体" w:cs="Times New Roman"/>
                <w:kern w:val="0"/>
                <w:sz w:val="18"/>
                <w:szCs w:val="18"/>
              </w:rPr>
              <w:t>20万元。</w:t>
            </w:r>
          </w:p>
        </w:tc>
        <w:tc>
          <w:tcPr>
            <w:tcW w:w="833" w:type="dxa"/>
            <w:tcBorders>
              <w:top w:val="nil"/>
              <w:left w:val="nil"/>
              <w:bottom w:val="single" w:color="auto" w:sz="4" w:space="0"/>
              <w:right w:val="single" w:color="auto" w:sz="4" w:space="0"/>
            </w:tcBorders>
            <w:noWrap w:val="0"/>
            <w:vAlign w:val="center"/>
          </w:tcPr>
          <w:p>
            <w:pPr>
              <w:widowControl/>
              <w:spacing w:line="16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完成目标值</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20</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255" w:hRule="exact"/>
          <w:jc w:val="center"/>
        </w:trPr>
        <w:tc>
          <w:tcPr>
            <w:tcW w:w="57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6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8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7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612" w:type="dxa"/>
            <w:gridSpan w:val="2"/>
            <w:tcBorders>
              <w:top w:val="nil"/>
              <w:left w:val="nil"/>
              <w:bottom w:val="single" w:color="auto" w:sz="4" w:space="0"/>
              <w:right w:val="single" w:color="auto" w:sz="4" w:space="0"/>
            </w:tcBorders>
            <w:noWrap w:val="0"/>
            <w:vAlign w:val="center"/>
          </w:tcPr>
          <w:p>
            <w:pPr>
              <w:widowControl/>
              <w:spacing w:line="160" w:lineRule="exact"/>
              <w:jc w:val="center"/>
              <w:rPr>
                <w:rFonts w:hint="default" w:ascii="Times New Roman" w:hAnsi="Times New Roman" w:eastAsia="宋体" w:cs="Times New Roman"/>
                <w:kern w:val="0"/>
                <w:sz w:val="15"/>
                <w:szCs w:val="15"/>
              </w:rPr>
            </w:pPr>
          </w:p>
        </w:tc>
        <w:tc>
          <w:tcPr>
            <w:tcW w:w="833" w:type="dxa"/>
            <w:tcBorders>
              <w:top w:val="nil"/>
              <w:left w:val="nil"/>
              <w:bottom w:val="single" w:color="auto" w:sz="4" w:space="0"/>
              <w:right w:val="single" w:color="auto" w:sz="4" w:space="0"/>
            </w:tcBorders>
            <w:noWrap w:val="0"/>
            <w:vAlign w:val="center"/>
          </w:tcPr>
          <w:p>
            <w:pPr>
              <w:widowControl/>
              <w:spacing w:line="160" w:lineRule="exact"/>
              <w:jc w:val="center"/>
              <w:rPr>
                <w:rFonts w:hint="default" w:ascii="Times New Roman" w:hAnsi="Times New Roman" w:eastAsia="宋体" w:cs="Times New Roman"/>
                <w:kern w:val="0"/>
                <w:sz w:val="15"/>
                <w:szCs w:val="15"/>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847" w:hRule="exact"/>
          <w:jc w:val="center"/>
        </w:trPr>
        <w:tc>
          <w:tcPr>
            <w:tcW w:w="57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6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效益指标（分值共30分）</w:t>
            </w:r>
          </w:p>
        </w:tc>
        <w:tc>
          <w:tcPr>
            <w:tcW w:w="108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经济效益</w:t>
            </w:r>
          </w:p>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指标</w:t>
            </w:r>
          </w:p>
        </w:tc>
        <w:tc>
          <w:tcPr>
            <w:tcW w:w="17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指标1：经济效益</w:t>
            </w:r>
          </w:p>
        </w:tc>
        <w:tc>
          <w:tcPr>
            <w:tcW w:w="1612" w:type="dxa"/>
            <w:gridSpan w:val="2"/>
            <w:tcBorders>
              <w:top w:val="nil"/>
              <w:left w:val="nil"/>
              <w:bottom w:val="single" w:color="auto" w:sz="4" w:space="0"/>
              <w:right w:val="single" w:color="auto" w:sz="4" w:space="0"/>
            </w:tcBorders>
            <w:noWrap w:val="0"/>
            <w:vAlign w:val="center"/>
          </w:tcPr>
          <w:p>
            <w:pPr>
              <w:widowControl/>
              <w:spacing w:line="200" w:lineRule="exact"/>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通过培训，提高干部素质和委员履职水平，更好的为全市经济发展献计出力。</w:t>
            </w:r>
          </w:p>
        </w:tc>
        <w:tc>
          <w:tcPr>
            <w:tcW w:w="833" w:type="dxa"/>
            <w:tcBorders>
              <w:top w:val="nil"/>
              <w:left w:val="nil"/>
              <w:bottom w:val="single" w:color="auto" w:sz="4" w:space="0"/>
              <w:right w:val="single" w:color="auto" w:sz="4" w:space="0"/>
            </w:tcBorders>
            <w:noWrap w:val="0"/>
            <w:vAlign w:val="center"/>
          </w:tcPr>
          <w:p>
            <w:pPr>
              <w:widowControl/>
              <w:spacing w:line="160" w:lineRule="exact"/>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完成目标值</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267" w:hRule="exact"/>
          <w:jc w:val="center"/>
        </w:trPr>
        <w:tc>
          <w:tcPr>
            <w:tcW w:w="57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6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8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7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612" w:type="dxa"/>
            <w:gridSpan w:val="2"/>
            <w:tcBorders>
              <w:top w:val="nil"/>
              <w:left w:val="nil"/>
              <w:bottom w:val="single" w:color="auto" w:sz="4" w:space="0"/>
              <w:right w:val="single" w:color="auto" w:sz="4" w:space="0"/>
            </w:tcBorders>
            <w:noWrap w:val="0"/>
            <w:vAlign w:val="center"/>
          </w:tcPr>
          <w:p>
            <w:pPr>
              <w:widowControl/>
              <w:spacing w:line="200" w:lineRule="exact"/>
              <w:jc w:val="center"/>
              <w:rPr>
                <w:rFonts w:hint="default" w:ascii="Times New Roman" w:hAnsi="Times New Roman" w:eastAsia="宋体" w:cs="Times New Roman"/>
                <w:kern w:val="0"/>
                <w:sz w:val="15"/>
                <w:szCs w:val="15"/>
              </w:rPr>
            </w:pPr>
          </w:p>
        </w:tc>
        <w:tc>
          <w:tcPr>
            <w:tcW w:w="833" w:type="dxa"/>
            <w:tcBorders>
              <w:top w:val="nil"/>
              <w:left w:val="nil"/>
              <w:bottom w:val="single" w:color="auto" w:sz="4" w:space="0"/>
              <w:right w:val="single" w:color="auto" w:sz="4" w:space="0"/>
            </w:tcBorders>
            <w:noWrap w:val="0"/>
            <w:vAlign w:val="center"/>
          </w:tcPr>
          <w:p>
            <w:pPr>
              <w:widowControl/>
              <w:spacing w:line="160" w:lineRule="exact"/>
              <w:jc w:val="center"/>
              <w:rPr>
                <w:rFonts w:hint="default" w:ascii="Times New Roman" w:hAnsi="Times New Roman" w:eastAsia="宋体" w:cs="Times New Roman"/>
                <w:kern w:val="0"/>
                <w:sz w:val="15"/>
                <w:szCs w:val="15"/>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860" w:hRule="exact"/>
          <w:jc w:val="center"/>
        </w:trPr>
        <w:tc>
          <w:tcPr>
            <w:tcW w:w="57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6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8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社会效益</w:t>
            </w:r>
          </w:p>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指标</w:t>
            </w:r>
          </w:p>
        </w:tc>
        <w:tc>
          <w:tcPr>
            <w:tcW w:w="17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指标1：社会效益</w:t>
            </w:r>
          </w:p>
        </w:tc>
        <w:tc>
          <w:tcPr>
            <w:tcW w:w="1612" w:type="dxa"/>
            <w:gridSpan w:val="2"/>
            <w:tcBorders>
              <w:top w:val="nil"/>
              <w:left w:val="nil"/>
              <w:bottom w:val="single" w:color="auto" w:sz="4" w:space="0"/>
              <w:right w:val="single" w:color="auto" w:sz="4" w:space="0"/>
            </w:tcBorders>
            <w:noWrap w:val="0"/>
            <w:vAlign w:val="center"/>
          </w:tcPr>
          <w:p>
            <w:pPr>
              <w:widowControl/>
              <w:spacing w:line="200" w:lineRule="exact"/>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通过培训，拓宽机关干部、市政协委员的视野和思路，促进高质量履行职能。</w:t>
            </w:r>
          </w:p>
        </w:tc>
        <w:tc>
          <w:tcPr>
            <w:tcW w:w="833" w:type="dxa"/>
            <w:tcBorders>
              <w:top w:val="nil"/>
              <w:left w:val="nil"/>
              <w:bottom w:val="single" w:color="auto" w:sz="4" w:space="0"/>
              <w:right w:val="single" w:color="auto" w:sz="4" w:space="0"/>
            </w:tcBorders>
            <w:noWrap w:val="0"/>
            <w:vAlign w:val="center"/>
          </w:tcPr>
          <w:p>
            <w:pPr>
              <w:widowControl/>
              <w:spacing w:line="160" w:lineRule="exact"/>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完成目标值</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267" w:hRule="exact"/>
          <w:jc w:val="center"/>
        </w:trPr>
        <w:tc>
          <w:tcPr>
            <w:tcW w:w="57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6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8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7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612" w:type="dxa"/>
            <w:gridSpan w:val="2"/>
            <w:tcBorders>
              <w:top w:val="nil"/>
              <w:left w:val="nil"/>
              <w:bottom w:val="single" w:color="auto" w:sz="4" w:space="0"/>
              <w:right w:val="single" w:color="auto" w:sz="4" w:space="0"/>
            </w:tcBorders>
            <w:noWrap w:val="0"/>
            <w:vAlign w:val="center"/>
          </w:tcPr>
          <w:p>
            <w:pPr>
              <w:widowControl/>
              <w:spacing w:line="160" w:lineRule="exact"/>
              <w:jc w:val="center"/>
              <w:rPr>
                <w:rFonts w:hint="default" w:ascii="Times New Roman" w:hAnsi="Times New Roman" w:eastAsia="宋体" w:cs="Times New Roman"/>
                <w:kern w:val="0"/>
                <w:sz w:val="15"/>
                <w:szCs w:val="15"/>
              </w:rPr>
            </w:pPr>
          </w:p>
        </w:tc>
        <w:tc>
          <w:tcPr>
            <w:tcW w:w="833" w:type="dxa"/>
            <w:tcBorders>
              <w:top w:val="nil"/>
              <w:left w:val="nil"/>
              <w:bottom w:val="single" w:color="auto" w:sz="4" w:space="0"/>
              <w:right w:val="single" w:color="auto" w:sz="4" w:space="0"/>
            </w:tcBorders>
            <w:noWrap w:val="0"/>
            <w:vAlign w:val="center"/>
          </w:tcPr>
          <w:p>
            <w:pPr>
              <w:widowControl/>
              <w:spacing w:line="160" w:lineRule="exact"/>
              <w:jc w:val="center"/>
              <w:rPr>
                <w:rFonts w:hint="default" w:ascii="Times New Roman" w:hAnsi="Times New Roman" w:eastAsia="宋体" w:cs="Times New Roman"/>
                <w:kern w:val="0"/>
                <w:sz w:val="15"/>
                <w:szCs w:val="15"/>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267" w:hRule="exact"/>
          <w:jc w:val="center"/>
        </w:trPr>
        <w:tc>
          <w:tcPr>
            <w:tcW w:w="57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6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8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生态效益</w:t>
            </w:r>
          </w:p>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指标</w:t>
            </w:r>
          </w:p>
        </w:tc>
        <w:tc>
          <w:tcPr>
            <w:tcW w:w="17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指标1：</w:t>
            </w:r>
          </w:p>
        </w:tc>
        <w:tc>
          <w:tcPr>
            <w:tcW w:w="1612" w:type="dxa"/>
            <w:gridSpan w:val="2"/>
            <w:tcBorders>
              <w:top w:val="nil"/>
              <w:left w:val="nil"/>
              <w:bottom w:val="single" w:color="auto" w:sz="4" w:space="0"/>
              <w:right w:val="single" w:color="auto" w:sz="4" w:space="0"/>
            </w:tcBorders>
            <w:noWrap w:val="0"/>
            <w:vAlign w:val="center"/>
          </w:tcPr>
          <w:p>
            <w:pPr>
              <w:widowControl/>
              <w:spacing w:line="160" w:lineRule="exact"/>
              <w:jc w:val="center"/>
              <w:rPr>
                <w:rFonts w:hint="default" w:ascii="Times New Roman" w:hAnsi="Times New Roman" w:eastAsia="宋体" w:cs="Times New Roman"/>
                <w:kern w:val="0"/>
                <w:sz w:val="15"/>
                <w:szCs w:val="15"/>
              </w:rPr>
            </w:pPr>
          </w:p>
        </w:tc>
        <w:tc>
          <w:tcPr>
            <w:tcW w:w="833" w:type="dxa"/>
            <w:tcBorders>
              <w:top w:val="nil"/>
              <w:left w:val="nil"/>
              <w:bottom w:val="single" w:color="auto" w:sz="4" w:space="0"/>
              <w:right w:val="single" w:color="auto" w:sz="4" w:space="0"/>
            </w:tcBorders>
            <w:noWrap w:val="0"/>
            <w:vAlign w:val="center"/>
          </w:tcPr>
          <w:p>
            <w:pPr>
              <w:widowControl/>
              <w:spacing w:line="160" w:lineRule="exact"/>
              <w:jc w:val="center"/>
              <w:rPr>
                <w:rFonts w:hint="default" w:ascii="Times New Roman" w:hAnsi="Times New Roman" w:eastAsia="宋体" w:cs="Times New Roman"/>
                <w:kern w:val="0"/>
                <w:sz w:val="15"/>
                <w:szCs w:val="15"/>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267" w:hRule="exact"/>
          <w:jc w:val="center"/>
        </w:trPr>
        <w:tc>
          <w:tcPr>
            <w:tcW w:w="57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6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8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7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612" w:type="dxa"/>
            <w:gridSpan w:val="2"/>
            <w:tcBorders>
              <w:top w:val="nil"/>
              <w:left w:val="nil"/>
              <w:bottom w:val="single" w:color="auto" w:sz="4" w:space="0"/>
              <w:right w:val="single" w:color="auto" w:sz="4" w:space="0"/>
            </w:tcBorders>
            <w:noWrap w:val="0"/>
            <w:vAlign w:val="center"/>
          </w:tcPr>
          <w:p>
            <w:pPr>
              <w:widowControl/>
              <w:spacing w:line="160" w:lineRule="exact"/>
              <w:jc w:val="center"/>
              <w:rPr>
                <w:rFonts w:hint="default" w:ascii="Times New Roman" w:hAnsi="Times New Roman" w:eastAsia="宋体" w:cs="Times New Roman"/>
                <w:kern w:val="0"/>
                <w:sz w:val="15"/>
                <w:szCs w:val="15"/>
              </w:rPr>
            </w:pPr>
          </w:p>
        </w:tc>
        <w:tc>
          <w:tcPr>
            <w:tcW w:w="833" w:type="dxa"/>
            <w:tcBorders>
              <w:top w:val="nil"/>
              <w:left w:val="nil"/>
              <w:bottom w:val="single" w:color="auto" w:sz="4" w:space="0"/>
              <w:right w:val="single" w:color="auto" w:sz="4" w:space="0"/>
            </w:tcBorders>
            <w:noWrap w:val="0"/>
            <w:vAlign w:val="center"/>
          </w:tcPr>
          <w:p>
            <w:pPr>
              <w:widowControl/>
              <w:spacing w:line="160" w:lineRule="exact"/>
              <w:jc w:val="center"/>
              <w:rPr>
                <w:rFonts w:hint="default" w:ascii="Times New Roman" w:hAnsi="Times New Roman" w:eastAsia="宋体" w:cs="Times New Roman"/>
                <w:kern w:val="0"/>
                <w:sz w:val="15"/>
                <w:szCs w:val="15"/>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267" w:hRule="exact"/>
          <w:jc w:val="center"/>
        </w:trPr>
        <w:tc>
          <w:tcPr>
            <w:tcW w:w="57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6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8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可持续影响指标</w:t>
            </w:r>
          </w:p>
        </w:tc>
        <w:tc>
          <w:tcPr>
            <w:tcW w:w="17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指标1：</w:t>
            </w:r>
          </w:p>
        </w:tc>
        <w:tc>
          <w:tcPr>
            <w:tcW w:w="1612" w:type="dxa"/>
            <w:gridSpan w:val="2"/>
            <w:tcBorders>
              <w:top w:val="nil"/>
              <w:left w:val="nil"/>
              <w:bottom w:val="single" w:color="auto" w:sz="4" w:space="0"/>
              <w:right w:val="single" w:color="auto" w:sz="4" w:space="0"/>
            </w:tcBorders>
            <w:noWrap w:val="0"/>
            <w:vAlign w:val="center"/>
          </w:tcPr>
          <w:p>
            <w:pPr>
              <w:widowControl/>
              <w:spacing w:line="160" w:lineRule="exact"/>
              <w:jc w:val="center"/>
              <w:rPr>
                <w:rFonts w:hint="default" w:ascii="Times New Roman" w:hAnsi="Times New Roman" w:eastAsia="宋体" w:cs="Times New Roman"/>
                <w:kern w:val="0"/>
                <w:sz w:val="15"/>
                <w:szCs w:val="15"/>
              </w:rPr>
            </w:pPr>
          </w:p>
        </w:tc>
        <w:tc>
          <w:tcPr>
            <w:tcW w:w="833" w:type="dxa"/>
            <w:tcBorders>
              <w:top w:val="nil"/>
              <w:left w:val="nil"/>
              <w:bottom w:val="single" w:color="auto" w:sz="4" w:space="0"/>
              <w:right w:val="single" w:color="auto" w:sz="4" w:space="0"/>
            </w:tcBorders>
            <w:noWrap w:val="0"/>
            <w:vAlign w:val="center"/>
          </w:tcPr>
          <w:p>
            <w:pPr>
              <w:widowControl/>
              <w:spacing w:line="160" w:lineRule="exact"/>
              <w:jc w:val="center"/>
              <w:rPr>
                <w:rFonts w:hint="default" w:ascii="Times New Roman" w:hAnsi="Times New Roman" w:eastAsia="宋体" w:cs="Times New Roman"/>
                <w:kern w:val="0"/>
                <w:sz w:val="15"/>
                <w:szCs w:val="15"/>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267" w:hRule="exact"/>
          <w:jc w:val="center"/>
        </w:trPr>
        <w:tc>
          <w:tcPr>
            <w:tcW w:w="57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6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8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7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612" w:type="dxa"/>
            <w:gridSpan w:val="2"/>
            <w:tcBorders>
              <w:top w:val="nil"/>
              <w:left w:val="nil"/>
              <w:bottom w:val="single" w:color="auto" w:sz="4" w:space="0"/>
              <w:right w:val="single" w:color="auto" w:sz="4" w:space="0"/>
            </w:tcBorders>
            <w:noWrap w:val="0"/>
            <w:vAlign w:val="center"/>
          </w:tcPr>
          <w:p>
            <w:pPr>
              <w:widowControl/>
              <w:spacing w:line="160" w:lineRule="exact"/>
              <w:jc w:val="center"/>
              <w:rPr>
                <w:rFonts w:hint="default" w:ascii="Times New Roman" w:hAnsi="Times New Roman" w:eastAsia="宋体" w:cs="Times New Roman"/>
                <w:kern w:val="0"/>
                <w:sz w:val="15"/>
                <w:szCs w:val="15"/>
              </w:rPr>
            </w:pPr>
          </w:p>
        </w:tc>
        <w:tc>
          <w:tcPr>
            <w:tcW w:w="833" w:type="dxa"/>
            <w:tcBorders>
              <w:top w:val="nil"/>
              <w:left w:val="nil"/>
              <w:bottom w:val="single" w:color="auto" w:sz="4" w:space="0"/>
              <w:right w:val="single" w:color="auto" w:sz="4" w:space="0"/>
            </w:tcBorders>
            <w:noWrap w:val="0"/>
            <w:vAlign w:val="center"/>
          </w:tcPr>
          <w:p>
            <w:pPr>
              <w:widowControl/>
              <w:spacing w:line="160" w:lineRule="exact"/>
              <w:jc w:val="center"/>
              <w:rPr>
                <w:rFonts w:hint="default" w:ascii="Times New Roman" w:hAnsi="Times New Roman" w:eastAsia="宋体" w:cs="Times New Roman"/>
                <w:kern w:val="0"/>
                <w:sz w:val="15"/>
                <w:szCs w:val="15"/>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576" w:hRule="exact"/>
          <w:jc w:val="center"/>
        </w:trPr>
        <w:tc>
          <w:tcPr>
            <w:tcW w:w="57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61" w:type="dxa"/>
            <w:vMerge w:val="restart"/>
            <w:tcBorders>
              <w:top w:val="nil"/>
              <w:left w:val="single" w:color="auto" w:sz="4" w:space="0"/>
              <w:right w:val="single" w:color="auto" w:sz="4" w:space="0"/>
            </w:tcBorders>
            <w:noWrap w:val="0"/>
            <w:vAlign w:val="center"/>
          </w:tcPr>
          <w:p>
            <w:pPr>
              <w:widowControl/>
              <w:spacing w:line="18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满意度</w:t>
            </w:r>
          </w:p>
          <w:p>
            <w:pPr>
              <w:widowControl/>
              <w:spacing w:line="18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指标（分值共10分）</w:t>
            </w:r>
          </w:p>
        </w:tc>
        <w:tc>
          <w:tcPr>
            <w:tcW w:w="1089" w:type="dxa"/>
            <w:vMerge w:val="restart"/>
            <w:tcBorders>
              <w:top w:val="nil"/>
              <w:left w:val="single" w:color="auto" w:sz="4" w:space="0"/>
              <w:bottom w:val="single" w:color="auto" w:sz="4" w:space="0"/>
              <w:right w:val="single" w:color="auto" w:sz="4" w:space="0"/>
            </w:tcBorders>
            <w:noWrap w:val="0"/>
            <w:vAlign w:val="center"/>
          </w:tcPr>
          <w:p>
            <w:pPr>
              <w:widowControl/>
              <w:spacing w:line="18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服务对象满意度指标</w:t>
            </w:r>
          </w:p>
        </w:tc>
        <w:tc>
          <w:tcPr>
            <w:tcW w:w="17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指标1：</w:t>
            </w:r>
            <w:r>
              <w:rPr>
                <w:rFonts w:hint="default" w:ascii="Times New Roman" w:hAnsi="Times New Roman" w:eastAsia="宋体" w:cs="Times New Roman"/>
                <w:color w:val="000000"/>
                <w:kern w:val="0"/>
                <w:sz w:val="15"/>
                <w:szCs w:val="15"/>
              </w:rPr>
              <w:t>培训对象满意度</w:t>
            </w:r>
          </w:p>
        </w:tc>
        <w:tc>
          <w:tcPr>
            <w:tcW w:w="1612" w:type="dxa"/>
            <w:gridSpan w:val="2"/>
            <w:tcBorders>
              <w:top w:val="nil"/>
              <w:left w:val="nil"/>
              <w:bottom w:val="single" w:color="auto" w:sz="4" w:space="0"/>
              <w:right w:val="single" w:color="auto" w:sz="4" w:space="0"/>
            </w:tcBorders>
            <w:noWrap w:val="0"/>
            <w:vAlign w:val="center"/>
          </w:tcPr>
          <w:p>
            <w:pPr>
              <w:widowControl/>
              <w:spacing w:line="160" w:lineRule="exact"/>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90%以上</w:t>
            </w:r>
          </w:p>
        </w:tc>
        <w:tc>
          <w:tcPr>
            <w:tcW w:w="833" w:type="dxa"/>
            <w:tcBorders>
              <w:top w:val="nil"/>
              <w:left w:val="nil"/>
              <w:bottom w:val="single" w:color="auto" w:sz="4" w:space="0"/>
              <w:right w:val="single" w:color="auto" w:sz="4" w:space="0"/>
            </w:tcBorders>
            <w:noWrap w:val="0"/>
            <w:vAlign w:val="center"/>
          </w:tcPr>
          <w:p>
            <w:pPr>
              <w:widowControl/>
              <w:spacing w:line="160" w:lineRule="exact"/>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基本完成目标值</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10</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9</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331" w:hRule="exact"/>
          <w:jc w:val="center"/>
        </w:trPr>
        <w:tc>
          <w:tcPr>
            <w:tcW w:w="57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61"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8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7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6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83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312" w:hRule="exact"/>
          <w:jc w:val="center"/>
        </w:trPr>
        <w:tc>
          <w:tcPr>
            <w:tcW w:w="6844"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总分</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100</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99</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bl>
    <w:p>
      <w:pPr>
        <w:widowControl/>
        <w:spacing w:line="592" w:lineRule="exact"/>
        <w:jc w:val="left"/>
        <w:rPr>
          <w:rFonts w:hint="default" w:ascii="Times New Roman" w:hAnsi="Times New Roman" w:cs="Times New Roman"/>
        </w:rPr>
      </w:pPr>
      <w:r>
        <w:rPr>
          <w:rFonts w:hint="default" w:ascii="Times New Roman" w:hAnsi="Times New Roman" w:eastAsia="宋体" w:cs="Times New Roman"/>
          <w:kern w:val="0"/>
          <w:sz w:val="18"/>
          <w:szCs w:val="18"/>
        </w:rPr>
        <w:t>备注：预算执行分值为10分、产出指标分值为50分、效益指标分值为30分、满意度指标分值为10分。</w:t>
      </w:r>
      <w:bookmarkStart w:id="144" w:name="_Toc15396618"/>
    </w:p>
    <w:tbl>
      <w:tblPr>
        <w:tblStyle w:val="13"/>
        <w:tblW w:w="9084" w:type="dxa"/>
        <w:jc w:val="center"/>
        <w:tblLayout w:type="autofit"/>
        <w:tblCellMar>
          <w:top w:w="0" w:type="dxa"/>
          <w:left w:w="108" w:type="dxa"/>
          <w:bottom w:w="0" w:type="dxa"/>
          <w:right w:w="108" w:type="dxa"/>
        </w:tblCellMar>
      </w:tblPr>
      <w:tblGrid>
        <w:gridCol w:w="575"/>
        <w:gridCol w:w="961"/>
        <w:gridCol w:w="1089"/>
        <w:gridCol w:w="715"/>
        <w:gridCol w:w="1059"/>
        <w:gridCol w:w="52"/>
        <w:gridCol w:w="1200"/>
        <w:gridCol w:w="929"/>
        <w:gridCol w:w="278"/>
        <w:gridCol w:w="277"/>
        <w:gridCol w:w="416"/>
        <w:gridCol w:w="139"/>
        <w:gridCol w:w="694"/>
        <w:gridCol w:w="700"/>
      </w:tblGrid>
      <w:tr>
        <w:tblPrEx>
          <w:tblCellMar>
            <w:top w:w="0" w:type="dxa"/>
            <w:left w:w="108" w:type="dxa"/>
            <w:bottom w:w="0" w:type="dxa"/>
            <w:right w:w="108" w:type="dxa"/>
          </w:tblCellMar>
        </w:tblPrEx>
        <w:trPr>
          <w:trHeight w:val="550" w:hRule="exact"/>
          <w:jc w:val="center"/>
        </w:trPr>
        <w:tc>
          <w:tcPr>
            <w:tcW w:w="9084" w:type="dxa"/>
            <w:gridSpan w:val="14"/>
            <w:tcBorders>
              <w:top w:val="nil"/>
              <w:left w:val="nil"/>
              <w:bottom w:val="nil"/>
              <w:right w:val="nil"/>
            </w:tcBorders>
            <w:noWrap w:val="0"/>
            <w:vAlign w:val="center"/>
          </w:tcPr>
          <w:p>
            <w:pPr>
              <w:widowControl/>
              <w:spacing w:line="320" w:lineRule="exact"/>
              <w:jc w:val="center"/>
              <w:rPr>
                <w:rFonts w:hint="default" w:ascii="Times New Roman" w:hAnsi="Times New Roman" w:eastAsia="宋体" w:cs="Times New Roman"/>
                <w:b/>
                <w:bCs/>
                <w:kern w:val="0"/>
                <w:szCs w:val="32"/>
              </w:rPr>
            </w:pPr>
            <w:r>
              <w:rPr>
                <w:rFonts w:hint="default" w:ascii="Times New Roman" w:hAnsi="Times New Roman" w:eastAsia="方正小标宋简体" w:cs="Times New Roman"/>
                <w:bCs/>
                <w:color w:val="000000"/>
                <w:kern w:val="0"/>
                <w:szCs w:val="32"/>
              </w:rPr>
              <w:t>自贡市政协办公室项目支出绩效自评表</w:t>
            </w:r>
          </w:p>
        </w:tc>
      </w:tr>
      <w:tr>
        <w:tblPrEx>
          <w:tblCellMar>
            <w:top w:w="0" w:type="dxa"/>
            <w:left w:w="108" w:type="dxa"/>
            <w:bottom w:w="0" w:type="dxa"/>
            <w:right w:w="108" w:type="dxa"/>
          </w:tblCellMar>
        </w:tblPrEx>
        <w:trPr>
          <w:trHeight w:val="340" w:hRule="exact"/>
          <w:jc w:val="center"/>
        </w:trPr>
        <w:tc>
          <w:tcPr>
            <w:tcW w:w="9084" w:type="dxa"/>
            <w:gridSpan w:val="14"/>
            <w:tcBorders>
              <w:top w:val="nil"/>
              <w:left w:val="nil"/>
              <w:bottom w:val="nil"/>
              <w:right w:val="nil"/>
            </w:tcBorders>
            <w:noWrap w:val="0"/>
            <w:vAlign w:val="top"/>
          </w:tcPr>
          <w:p>
            <w:pPr>
              <w:widowControl/>
              <w:spacing w:line="220" w:lineRule="exact"/>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（2021年度）</w:t>
            </w:r>
          </w:p>
        </w:tc>
      </w:tr>
      <w:tr>
        <w:tblPrEx>
          <w:tblCellMar>
            <w:top w:w="0" w:type="dxa"/>
            <w:left w:w="108" w:type="dxa"/>
            <w:bottom w:w="0" w:type="dxa"/>
            <w:right w:w="108" w:type="dxa"/>
          </w:tblCellMar>
        </w:tblPrEx>
        <w:trPr>
          <w:trHeight w:val="340" w:hRule="exact"/>
          <w:jc w:val="center"/>
        </w:trPr>
        <w:tc>
          <w:tcPr>
            <w:tcW w:w="153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项目名称</w:t>
            </w:r>
          </w:p>
        </w:tc>
        <w:tc>
          <w:tcPr>
            <w:tcW w:w="7548" w:type="dxa"/>
            <w:gridSpan w:val="12"/>
            <w:tcBorders>
              <w:top w:val="single" w:color="auto" w:sz="4" w:space="0"/>
              <w:left w:val="nil"/>
              <w:bottom w:val="single" w:color="auto" w:sz="4" w:space="0"/>
              <w:right w:val="single" w:color="auto" w:sz="4" w:space="0"/>
            </w:tcBorders>
            <w:noWrap w:val="0"/>
            <w:vAlign w:val="center"/>
          </w:tcPr>
          <w:p>
            <w:pPr>
              <w:widowControl/>
              <w:spacing w:line="220" w:lineRule="exact"/>
              <w:ind w:firstLine="2100" w:firstLineChars="100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市政协全会经费</w:t>
            </w:r>
          </w:p>
        </w:tc>
      </w:tr>
      <w:tr>
        <w:tblPrEx>
          <w:tblCellMar>
            <w:top w:w="0" w:type="dxa"/>
            <w:left w:w="108" w:type="dxa"/>
            <w:bottom w:w="0" w:type="dxa"/>
            <w:right w:w="108" w:type="dxa"/>
          </w:tblCellMar>
        </w:tblPrEx>
        <w:trPr>
          <w:trHeight w:val="267" w:hRule="exact"/>
          <w:jc w:val="center"/>
        </w:trPr>
        <w:tc>
          <w:tcPr>
            <w:tcW w:w="153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主管部门</w:t>
            </w:r>
          </w:p>
        </w:tc>
        <w:tc>
          <w:tcPr>
            <w:tcW w:w="411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2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实施单位</w:t>
            </w:r>
          </w:p>
        </w:tc>
        <w:tc>
          <w:tcPr>
            <w:tcW w:w="222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自贡市政协办公室</w:t>
            </w:r>
          </w:p>
        </w:tc>
      </w:tr>
      <w:tr>
        <w:tblPrEx>
          <w:tblCellMar>
            <w:top w:w="0" w:type="dxa"/>
            <w:left w:w="108" w:type="dxa"/>
            <w:bottom w:w="0" w:type="dxa"/>
            <w:right w:w="108" w:type="dxa"/>
          </w:tblCellMar>
        </w:tblPrEx>
        <w:trPr>
          <w:trHeight w:val="267" w:hRule="exact"/>
          <w:jc w:val="center"/>
        </w:trPr>
        <w:tc>
          <w:tcPr>
            <w:tcW w:w="153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项目资金</w:t>
            </w:r>
          </w:p>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1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年初预算数</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全年预算数</w:t>
            </w:r>
          </w:p>
        </w:tc>
        <w:tc>
          <w:tcPr>
            <w:tcW w:w="12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全年执行数</w:t>
            </w:r>
          </w:p>
        </w:tc>
        <w:tc>
          <w:tcPr>
            <w:tcW w:w="6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分值</w:t>
            </w:r>
          </w:p>
        </w:tc>
        <w:tc>
          <w:tcPr>
            <w:tcW w:w="83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执行率</w:t>
            </w:r>
          </w:p>
        </w:tc>
        <w:tc>
          <w:tcPr>
            <w:tcW w:w="70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得分</w:t>
            </w:r>
          </w:p>
        </w:tc>
      </w:tr>
      <w:tr>
        <w:tblPrEx>
          <w:tblCellMar>
            <w:top w:w="0" w:type="dxa"/>
            <w:left w:w="108" w:type="dxa"/>
            <w:bottom w:w="0" w:type="dxa"/>
            <w:right w:w="108" w:type="dxa"/>
          </w:tblCellMar>
        </w:tblPrEx>
        <w:trPr>
          <w:trHeight w:val="267" w:hRule="exact"/>
          <w:jc w:val="center"/>
        </w:trPr>
        <w:tc>
          <w:tcPr>
            <w:tcW w:w="15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年度资金总额</w:t>
            </w:r>
          </w:p>
        </w:tc>
        <w:tc>
          <w:tcPr>
            <w:tcW w:w="11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54</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54</w:t>
            </w:r>
          </w:p>
        </w:tc>
        <w:tc>
          <w:tcPr>
            <w:tcW w:w="12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54</w:t>
            </w:r>
          </w:p>
        </w:tc>
        <w:tc>
          <w:tcPr>
            <w:tcW w:w="6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10</w:t>
            </w:r>
          </w:p>
        </w:tc>
        <w:tc>
          <w:tcPr>
            <w:tcW w:w="83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100%</w:t>
            </w:r>
          </w:p>
        </w:tc>
        <w:tc>
          <w:tcPr>
            <w:tcW w:w="70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10</w:t>
            </w:r>
          </w:p>
        </w:tc>
      </w:tr>
      <w:tr>
        <w:tblPrEx>
          <w:tblCellMar>
            <w:top w:w="0" w:type="dxa"/>
            <w:left w:w="108" w:type="dxa"/>
            <w:bottom w:w="0" w:type="dxa"/>
            <w:right w:w="108" w:type="dxa"/>
          </w:tblCellMar>
        </w:tblPrEx>
        <w:trPr>
          <w:trHeight w:val="268" w:hRule="exact"/>
          <w:jc w:val="center"/>
        </w:trPr>
        <w:tc>
          <w:tcPr>
            <w:tcW w:w="15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其中：当年财政拨款</w:t>
            </w:r>
          </w:p>
        </w:tc>
        <w:tc>
          <w:tcPr>
            <w:tcW w:w="11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54</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54</w:t>
            </w:r>
          </w:p>
        </w:tc>
        <w:tc>
          <w:tcPr>
            <w:tcW w:w="12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54</w:t>
            </w:r>
          </w:p>
        </w:tc>
        <w:tc>
          <w:tcPr>
            <w:tcW w:w="6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w:t>
            </w:r>
          </w:p>
        </w:tc>
        <w:tc>
          <w:tcPr>
            <w:tcW w:w="83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100%</w:t>
            </w:r>
          </w:p>
        </w:tc>
        <w:tc>
          <w:tcPr>
            <w:tcW w:w="70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w:t>
            </w:r>
          </w:p>
        </w:tc>
      </w:tr>
      <w:tr>
        <w:tblPrEx>
          <w:tblCellMar>
            <w:top w:w="0" w:type="dxa"/>
            <w:left w:w="108" w:type="dxa"/>
            <w:bottom w:w="0" w:type="dxa"/>
            <w:right w:w="108" w:type="dxa"/>
          </w:tblCellMar>
        </w:tblPrEx>
        <w:trPr>
          <w:trHeight w:val="267" w:hRule="exact"/>
          <w:jc w:val="center"/>
        </w:trPr>
        <w:tc>
          <w:tcPr>
            <w:tcW w:w="15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上年结转资金</w:t>
            </w:r>
          </w:p>
        </w:tc>
        <w:tc>
          <w:tcPr>
            <w:tcW w:w="11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w:t>
            </w:r>
          </w:p>
        </w:tc>
        <w:tc>
          <w:tcPr>
            <w:tcW w:w="12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w:t>
            </w:r>
          </w:p>
        </w:tc>
        <w:tc>
          <w:tcPr>
            <w:tcW w:w="6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w:t>
            </w:r>
          </w:p>
        </w:tc>
        <w:tc>
          <w:tcPr>
            <w:tcW w:w="83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70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w:t>
            </w:r>
          </w:p>
        </w:tc>
      </w:tr>
      <w:tr>
        <w:tblPrEx>
          <w:tblCellMar>
            <w:top w:w="0" w:type="dxa"/>
            <w:left w:w="108" w:type="dxa"/>
            <w:bottom w:w="0" w:type="dxa"/>
            <w:right w:w="108" w:type="dxa"/>
          </w:tblCellMar>
        </w:tblPrEx>
        <w:trPr>
          <w:trHeight w:val="244" w:hRule="exact"/>
          <w:jc w:val="center"/>
        </w:trPr>
        <w:tc>
          <w:tcPr>
            <w:tcW w:w="15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其他资金</w:t>
            </w:r>
          </w:p>
        </w:tc>
        <w:tc>
          <w:tcPr>
            <w:tcW w:w="11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w:t>
            </w:r>
          </w:p>
        </w:tc>
        <w:tc>
          <w:tcPr>
            <w:tcW w:w="12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w:t>
            </w:r>
          </w:p>
        </w:tc>
        <w:tc>
          <w:tcPr>
            <w:tcW w:w="6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w:t>
            </w:r>
          </w:p>
        </w:tc>
        <w:tc>
          <w:tcPr>
            <w:tcW w:w="83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70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w:t>
            </w:r>
          </w:p>
        </w:tc>
      </w:tr>
      <w:tr>
        <w:tblPrEx>
          <w:tblCellMar>
            <w:top w:w="0" w:type="dxa"/>
            <w:left w:w="108" w:type="dxa"/>
            <w:bottom w:w="0" w:type="dxa"/>
            <w:right w:w="108" w:type="dxa"/>
          </w:tblCellMar>
        </w:tblPrEx>
        <w:trPr>
          <w:trHeight w:val="267" w:hRule="exact"/>
          <w:jc w:val="center"/>
        </w:trPr>
        <w:tc>
          <w:tcPr>
            <w:tcW w:w="575" w:type="dxa"/>
            <w:vMerge w:val="restart"/>
            <w:tcBorders>
              <w:top w:val="nil"/>
              <w:left w:val="single" w:color="auto" w:sz="4" w:space="0"/>
              <w:bottom w:val="single" w:color="auto" w:sz="4" w:space="0"/>
              <w:right w:val="single" w:color="auto" w:sz="4" w:space="0"/>
            </w:tcBorders>
            <w:noWrap w:val="0"/>
            <w:vAlign w:val="center"/>
          </w:tcPr>
          <w:p>
            <w:pPr>
              <w:widowControl/>
              <w:spacing w:line="160" w:lineRule="exact"/>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年度总体目标</w:t>
            </w:r>
          </w:p>
        </w:tc>
        <w:tc>
          <w:tcPr>
            <w:tcW w:w="507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预期目标</w:t>
            </w:r>
          </w:p>
        </w:tc>
        <w:tc>
          <w:tcPr>
            <w:tcW w:w="3433"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实际完成情况</w:t>
            </w:r>
          </w:p>
        </w:tc>
      </w:tr>
      <w:tr>
        <w:tblPrEx>
          <w:tblCellMar>
            <w:top w:w="0" w:type="dxa"/>
            <w:left w:w="108" w:type="dxa"/>
            <w:bottom w:w="0" w:type="dxa"/>
            <w:right w:w="108" w:type="dxa"/>
          </w:tblCellMar>
        </w:tblPrEx>
        <w:trPr>
          <w:trHeight w:val="321" w:hRule="exact"/>
          <w:jc w:val="center"/>
        </w:trPr>
        <w:tc>
          <w:tcPr>
            <w:tcW w:w="57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07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圆满完成十五届五次会议</w:t>
            </w:r>
          </w:p>
        </w:tc>
        <w:tc>
          <w:tcPr>
            <w:tcW w:w="3433"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完成目标值</w:t>
            </w:r>
          </w:p>
        </w:tc>
      </w:tr>
      <w:tr>
        <w:tblPrEx>
          <w:tblCellMar>
            <w:top w:w="0" w:type="dxa"/>
            <w:left w:w="108" w:type="dxa"/>
            <w:bottom w:w="0" w:type="dxa"/>
            <w:right w:w="108" w:type="dxa"/>
          </w:tblCellMar>
        </w:tblPrEx>
        <w:trPr>
          <w:trHeight w:val="267" w:hRule="exact"/>
          <w:jc w:val="center"/>
        </w:trPr>
        <w:tc>
          <w:tcPr>
            <w:tcW w:w="575" w:type="dxa"/>
            <w:vMerge w:val="restart"/>
            <w:tcBorders>
              <w:top w:val="nil"/>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绩</w:t>
            </w:r>
          </w:p>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效</w:t>
            </w:r>
          </w:p>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指</w:t>
            </w:r>
          </w:p>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标</w:t>
            </w:r>
          </w:p>
        </w:tc>
        <w:tc>
          <w:tcPr>
            <w:tcW w:w="96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一级指标</w:t>
            </w:r>
          </w:p>
        </w:tc>
        <w:tc>
          <w:tcPr>
            <w:tcW w:w="108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二级指标</w:t>
            </w:r>
          </w:p>
        </w:tc>
        <w:tc>
          <w:tcPr>
            <w:tcW w:w="17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三级指标</w:t>
            </w:r>
          </w:p>
        </w:tc>
        <w:tc>
          <w:tcPr>
            <w:tcW w:w="12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年度</w:t>
            </w:r>
          </w:p>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指标值</w:t>
            </w:r>
          </w:p>
        </w:tc>
        <w:tc>
          <w:tcPr>
            <w:tcW w:w="92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实际</w:t>
            </w:r>
          </w:p>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完成值</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分值</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得分</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偏差原因分析及改进措施</w:t>
            </w:r>
          </w:p>
        </w:tc>
      </w:tr>
      <w:tr>
        <w:tblPrEx>
          <w:tblCellMar>
            <w:top w:w="0" w:type="dxa"/>
            <w:left w:w="108" w:type="dxa"/>
            <w:bottom w:w="0" w:type="dxa"/>
            <w:right w:w="108" w:type="dxa"/>
          </w:tblCellMar>
        </w:tblPrEx>
        <w:trPr>
          <w:trHeight w:val="716" w:hRule="exact"/>
          <w:jc w:val="center"/>
        </w:trPr>
        <w:tc>
          <w:tcPr>
            <w:tcW w:w="57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6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完成指标（分值共50分）</w:t>
            </w:r>
          </w:p>
        </w:tc>
        <w:tc>
          <w:tcPr>
            <w:tcW w:w="108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数量指标</w:t>
            </w:r>
          </w:p>
        </w:tc>
        <w:tc>
          <w:tcPr>
            <w:tcW w:w="17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指标1：</w:t>
            </w:r>
            <w:r>
              <w:rPr>
                <w:rFonts w:hint="default" w:ascii="Times New Roman" w:hAnsi="Times New Roman" w:eastAsia="宋体" w:cs="Times New Roman"/>
                <w:color w:val="000000"/>
                <w:kern w:val="0"/>
                <w:sz w:val="16"/>
                <w:szCs w:val="16"/>
              </w:rPr>
              <w:t>会议培训人数</w:t>
            </w:r>
          </w:p>
        </w:tc>
        <w:tc>
          <w:tcPr>
            <w:tcW w:w="1252" w:type="dxa"/>
            <w:gridSpan w:val="2"/>
            <w:tcBorders>
              <w:top w:val="nil"/>
              <w:left w:val="nil"/>
              <w:bottom w:val="single" w:color="auto" w:sz="4" w:space="0"/>
              <w:right w:val="single" w:color="auto" w:sz="4" w:space="0"/>
            </w:tcBorders>
            <w:noWrap w:val="0"/>
            <w:vAlign w:val="center"/>
          </w:tcPr>
          <w:p>
            <w:pPr>
              <w:widowControl/>
              <w:spacing w:line="22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5"/>
                <w:szCs w:val="15"/>
              </w:rPr>
              <w:t>符合《市政协全体会议会务工作规范》要求</w:t>
            </w:r>
          </w:p>
        </w:tc>
        <w:tc>
          <w:tcPr>
            <w:tcW w:w="92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完成目标值</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267" w:hRule="exact"/>
          <w:jc w:val="center"/>
        </w:trPr>
        <w:tc>
          <w:tcPr>
            <w:tcW w:w="57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6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8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7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2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2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891" w:hRule="exact"/>
          <w:jc w:val="center"/>
        </w:trPr>
        <w:tc>
          <w:tcPr>
            <w:tcW w:w="57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6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8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质量指标</w:t>
            </w:r>
          </w:p>
        </w:tc>
        <w:tc>
          <w:tcPr>
            <w:tcW w:w="17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指标1：会议质量</w:t>
            </w:r>
          </w:p>
        </w:tc>
        <w:tc>
          <w:tcPr>
            <w:tcW w:w="1252"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3"/>
                <w:szCs w:val="13"/>
              </w:rPr>
              <w:t>严格按照《市政协全体会议会务工作规范》要求，高质量办会。</w:t>
            </w:r>
          </w:p>
        </w:tc>
        <w:tc>
          <w:tcPr>
            <w:tcW w:w="92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完成目标值</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267" w:hRule="exact"/>
          <w:jc w:val="center"/>
        </w:trPr>
        <w:tc>
          <w:tcPr>
            <w:tcW w:w="57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6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8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7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252"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hint="default" w:ascii="Times New Roman" w:hAnsi="Times New Roman" w:eastAsia="宋体" w:cs="Times New Roman"/>
                <w:kern w:val="0"/>
                <w:sz w:val="15"/>
                <w:szCs w:val="15"/>
              </w:rPr>
            </w:pPr>
          </w:p>
        </w:tc>
        <w:tc>
          <w:tcPr>
            <w:tcW w:w="92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352" w:hRule="exact"/>
          <w:jc w:val="center"/>
        </w:trPr>
        <w:tc>
          <w:tcPr>
            <w:tcW w:w="57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6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8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时效指标</w:t>
            </w:r>
          </w:p>
        </w:tc>
        <w:tc>
          <w:tcPr>
            <w:tcW w:w="17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指标1：</w:t>
            </w:r>
          </w:p>
        </w:tc>
        <w:tc>
          <w:tcPr>
            <w:tcW w:w="1252" w:type="dxa"/>
            <w:gridSpan w:val="2"/>
            <w:tcBorders>
              <w:top w:val="nil"/>
              <w:left w:val="nil"/>
              <w:bottom w:val="single" w:color="auto" w:sz="4" w:space="0"/>
              <w:right w:val="single" w:color="auto" w:sz="4" w:space="0"/>
            </w:tcBorders>
            <w:noWrap w:val="0"/>
            <w:vAlign w:val="center"/>
          </w:tcPr>
          <w:p>
            <w:pPr>
              <w:widowControl/>
              <w:spacing w:line="180" w:lineRule="exact"/>
              <w:rPr>
                <w:rFonts w:hint="default" w:ascii="Times New Roman" w:hAnsi="Times New Roman" w:eastAsia="宋体" w:cs="Times New Roman"/>
                <w:kern w:val="0"/>
                <w:sz w:val="15"/>
                <w:szCs w:val="15"/>
              </w:rPr>
            </w:pPr>
          </w:p>
        </w:tc>
        <w:tc>
          <w:tcPr>
            <w:tcW w:w="92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267" w:hRule="exact"/>
          <w:jc w:val="center"/>
        </w:trPr>
        <w:tc>
          <w:tcPr>
            <w:tcW w:w="57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6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8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7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252" w:type="dxa"/>
            <w:gridSpan w:val="2"/>
            <w:tcBorders>
              <w:top w:val="nil"/>
              <w:left w:val="nil"/>
              <w:bottom w:val="single" w:color="auto" w:sz="4" w:space="0"/>
              <w:right w:val="single" w:color="auto" w:sz="4" w:space="0"/>
            </w:tcBorders>
            <w:noWrap w:val="0"/>
            <w:vAlign w:val="center"/>
          </w:tcPr>
          <w:p>
            <w:pPr>
              <w:widowControl/>
              <w:spacing w:line="200" w:lineRule="exact"/>
              <w:jc w:val="center"/>
              <w:rPr>
                <w:rFonts w:hint="default" w:ascii="Times New Roman" w:hAnsi="Times New Roman" w:eastAsia="宋体" w:cs="Times New Roman"/>
                <w:kern w:val="0"/>
                <w:sz w:val="15"/>
                <w:szCs w:val="15"/>
              </w:rPr>
            </w:pPr>
          </w:p>
        </w:tc>
        <w:tc>
          <w:tcPr>
            <w:tcW w:w="92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933" w:hRule="exact"/>
          <w:jc w:val="center"/>
        </w:trPr>
        <w:tc>
          <w:tcPr>
            <w:tcW w:w="57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6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8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成本指标</w:t>
            </w:r>
          </w:p>
        </w:tc>
        <w:tc>
          <w:tcPr>
            <w:tcW w:w="17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指标1：成本控制</w:t>
            </w:r>
          </w:p>
        </w:tc>
        <w:tc>
          <w:tcPr>
            <w:tcW w:w="1252" w:type="dxa"/>
            <w:gridSpan w:val="2"/>
            <w:tcBorders>
              <w:top w:val="nil"/>
              <w:left w:val="nil"/>
              <w:bottom w:val="single" w:color="auto" w:sz="4" w:space="0"/>
              <w:right w:val="single" w:color="auto" w:sz="4" w:space="0"/>
            </w:tcBorders>
            <w:noWrap w:val="0"/>
            <w:vAlign w:val="center"/>
          </w:tcPr>
          <w:p>
            <w:pPr>
              <w:widowControl/>
              <w:spacing w:line="200" w:lineRule="exact"/>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严格按照《自贡市市级机关会议费管理办法》执行执行。</w:t>
            </w:r>
          </w:p>
        </w:tc>
        <w:tc>
          <w:tcPr>
            <w:tcW w:w="92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完成目标值</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20</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267" w:hRule="exact"/>
          <w:jc w:val="center"/>
        </w:trPr>
        <w:tc>
          <w:tcPr>
            <w:tcW w:w="57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6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8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7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252" w:type="dxa"/>
            <w:gridSpan w:val="2"/>
            <w:tcBorders>
              <w:top w:val="nil"/>
              <w:left w:val="nil"/>
              <w:bottom w:val="single" w:color="auto" w:sz="4" w:space="0"/>
              <w:right w:val="single" w:color="auto" w:sz="4" w:space="0"/>
            </w:tcBorders>
            <w:noWrap w:val="0"/>
            <w:vAlign w:val="center"/>
          </w:tcPr>
          <w:p>
            <w:pPr>
              <w:widowControl/>
              <w:spacing w:line="200" w:lineRule="exact"/>
              <w:jc w:val="center"/>
              <w:rPr>
                <w:rFonts w:hint="default" w:ascii="Times New Roman" w:hAnsi="Times New Roman" w:eastAsia="宋体" w:cs="Times New Roman"/>
                <w:kern w:val="0"/>
                <w:sz w:val="15"/>
                <w:szCs w:val="15"/>
              </w:rPr>
            </w:pPr>
          </w:p>
        </w:tc>
        <w:tc>
          <w:tcPr>
            <w:tcW w:w="92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751" w:hRule="exact"/>
          <w:jc w:val="center"/>
        </w:trPr>
        <w:tc>
          <w:tcPr>
            <w:tcW w:w="57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6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效益指标（分值共30分）</w:t>
            </w:r>
          </w:p>
        </w:tc>
        <w:tc>
          <w:tcPr>
            <w:tcW w:w="108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经济效益</w:t>
            </w:r>
          </w:p>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指标</w:t>
            </w:r>
          </w:p>
        </w:tc>
        <w:tc>
          <w:tcPr>
            <w:tcW w:w="17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指标1：经济效益</w:t>
            </w:r>
          </w:p>
        </w:tc>
        <w:tc>
          <w:tcPr>
            <w:tcW w:w="1252" w:type="dxa"/>
            <w:gridSpan w:val="2"/>
            <w:tcBorders>
              <w:top w:val="nil"/>
              <w:left w:val="nil"/>
              <w:bottom w:val="single" w:color="auto" w:sz="4" w:space="0"/>
              <w:right w:val="single" w:color="auto" w:sz="4" w:space="0"/>
            </w:tcBorders>
            <w:noWrap w:val="0"/>
            <w:vAlign w:val="center"/>
          </w:tcPr>
          <w:p>
            <w:pPr>
              <w:widowControl/>
              <w:spacing w:line="220" w:lineRule="exact"/>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积极建言献策，助推我市经济社会全面发展。</w:t>
            </w:r>
          </w:p>
        </w:tc>
        <w:tc>
          <w:tcPr>
            <w:tcW w:w="92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完成目标值</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267" w:hRule="exact"/>
          <w:jc w:val="center"/>
        </w:trPr>
        <w:tc>
          <w:tcPr>
            <w:tcW w:w="57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6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8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7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252" w:type="dxa"/>
            <w:gridSpan w:val="2"/>
            <w:tcBorders>
              <w:top w:val="nil"/>
              <w:left w:val="nil"/>
              <w:bottom w:val="single" w:color="auto" w:sz="4" w:space="0"/>
              <w:right w:val="single" w:color="auto" w:sz="4" w:space="0"/>
            </w:tcBorders>
            <w:noWrap w:val="0"/>
            <w:vAlign w:val="center"/>
          </w:tcPr>
          <w:p>
            <w:pPr>
              <w:widowControl/>
              <w:spacing w:line="200" w:lineRule="exact"/>
              <w:jc w:val="center"/>
              <w:rPr>
                <w:rFonts w:hint="default" w:ascii="Times New Roman" w:hAnsi="Times New Roman" w:eastAsia="宋体" w:cs="Times New Roman"/>
                <w:kern w:val="0"/>
                <w:sz w:val="15"/>
                <w:szCs w:val="15"/>
              </w:rPr>
            </w:pPr>
          </w:p>
        </w:tc>
        <w:tc>
          <w:tcPr>
            <w:tcW w:w="92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890" w:hRule="exact"/>
          <w:jc w:val="center"/>
        </w:trPr>
        <w:tc>
          <w:tcPr>
            <w:tcW w:w="57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6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8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社会效益</w:t>
            </w:r>
          </w:p>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指标</w:t>
            </w:r>
          </w:p>
        </w:tc>
        <w:tc>
          <w:tcPr>
            <w:tcW w:w="17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指标1：社会效益</w:t>
            </w:r>
          </w:p>
        </w:tc>
        <w:tc>
          <w:tcPr>
            <w:tcW w:w="1252" w:type="dxa"/>
            <w:gridSpan w:val="2"/>
            <w:tcBorders>
              <w:top w:val="nil"/>
              <w:left w:val="nil"/>
              <w:bottom w:val="single" w:color="auto" w:sz="4" w:space="0"/>
              <w:right w:val="single" w:color="auto" w:sz="4" w:space="0"/>
            </w:tcBorders>
            <w:noWrap w:val="0"/>
            <w:vAlign w:val="center"/>
          </w:tcPr>
          <w:p>
            <w:pPr>
              <w:widowControl/>
              <w:spacing w:line="200" w:lineRule="exact"/>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关于民生，反映民意，集中民智，促进社会和谐稳定。</w:t>
            </w:r>
          </w:p>
        </w:tc>
        <w:tc>
          <w:tcPr>
            <w:tcW w:w="92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完成目标值</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267" w:hRule="exact"/>
          <w:jc w:val="center"/>
        </w:trPr>
        <w:tc>
          <w:tcPr>
            <w:tcW w:w="57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6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8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7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252" w:type="dxa"/>
            <w:gridSpan w:val="2"/>
            <w:tcBorders>
              <w:top w:val="nil"/>
              <w:left w:val="nil"/>
              <w:bottom w:val="single" w:color="auto" w:sz="4" w:space="0"/>
              <w:right w:val="single" w:color="auto" w:sz="4" w:space="0"/>
            </w:tcBorders>
            <w:noWrap w:val="0"/>
            <w:vAlign w:val="center"/>
          </w:tcPr>
          <w:p>
            <w:pPr>
              <w:widowControl/>
              <w:spacing w:line="200" w:lineRule="exact"/>
              <w:jc w:val="center"/>
              <w:rPr>
                <w:rFonts w:hint="default" w:ascii="Times New Roman" w:hAnsi="Times New Roman" w:eastAsia="宋体" w:cs="Times New Roman"/>
                <w:kern w:val="0"/>
                <w:sz w:val="15"/>
                <w:szCs w:val="15"/>
              </w:rPr>
            </w:pPr>
          </w:p>
        </w:tc>
        <w:tc>
          <w:tcPr>
            <w:tcW w:w="92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267" w:hRule="exact"/>
          <w:jc w:val="center"/>
        </w:trPr>
        <w:tc>
          <w:tcPr>
            <w:tcW w:w="57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6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8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生态效益</w:t>
            </w:r>
          </w:p>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指标</w:t>
            </w:r>
          </w:p>
        </w:tc>
        <w:tc>
          <w:tcPr>
            <w:tcW w:w="17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指标1：</w:t>
            </w:r>
          </w:p>
        </w:tc>
        <w:tc>
          <w:tcPr>
            <w:tcW w:w="1252" w:type="dxa"/>
            <w:gridSpan w:val="2"/>
            <w:tcBorders>
              <w:top w:val="nil"/>
              <w:left w:val="nil"/>
              <w:bottom w:val="single" w:color="auto" w:sz="4" w:space="0"/>
              <w:right w:val="single" w:color="auto" w:sz="4" w:space="0"/>
            </w:tcBorders>
            <w:noWrap w:val="0"/>
            <w:vAlign w:val="center"/>
          </w:tcPr>
          <w:p>
            <w:pPr>
              <w:widowControl/>
              <w:spacing w:line="200" w:lineRule="exact"/>
              <w:jc w:val="center"/>
              <w:rPr>
                <w:rFonts w:hint="default" w:ascii="Times New Roman" w:hAnsi="Times New Roman" w:eastAsia="宋体" w:cs="Times New Roman"/>
                <w:kern w:val="0"/>
                <w:sz w:val="15"/>
                <w:szCs w:val="15"/>
              </w:rPr>
            </w:pPr>
          </w:p>
        </w:tc>
        <w:tc>
          <w:tcPr>
            <w:tcW w:w="92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267" w:hRule="exact"/>
          <w:jc w:val="center"/>
        </w:trPr>
        <w:tc>
          <w:tcPr>
            <w:tcW w:w="57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6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8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7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252" w:type="dxa"/>
            <w:gridSpan w:val="2"/>
            <w:tcBorders>
              <w:top w:val="nil"/>
              <w:left w:val="nil"/>
              <w:bottom w:val="single" w:color="auto" w:sz="4" w:space="0"/>
              <w:right w:val="single" w:color="auto" w:sz="4" w:space="0"/>
            </w:tcBorders>
            <w:noWrap w:val="0"/>
            <w:vAlign w:val="center"/>
          </w:tcPr>
          <w:p>
            <w:pPr>
              <w:widowControl/>
              <w:spacing w:line="200" w:lineRule="exact"/>
              <w:jc w:val="center"/>
              <w:rPr>
                <w:rFonts w:hint="default" w:ascii="Times New Roman" w:hAnsi="Times New Roman" w:eastAsia="宋体" w:cs="Times New Roman"/>
                <w:kern w:val="0"/>
                <w:sz w:val="15"/>
                <w:szCs w:val="15"/>
              </w:rPr>
            </w:pPr>
          </w:p>
        </w:tc>
        <w:tc>
          <w:tcPr>
            <w:tcW w:w="92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267" w:hRule="exact"/>
          <w:jc w:val="center"/>
        </w:trPr>
        <w:tc>
          <w:tcPr>
            <w:tcW w:w="57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6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8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可持续影响指标</w:t>
            </w:r>
          </w:p>
        </w:tc>
        <w:tc>
          <w:tcPr>
            <w:tcW w:w="17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指标1：</w:t>
            </w:r>
          </w:p>
        </w:tc>
        <w:tc>
          <w:tcPr>
            <w:tcW w:w="1252" w:type="dxa"/>
            <w:gridSpan w:val="2"/>
            <w:tcBorders>
              <w:top w:val="nil"/>
              <w:left w:val="nil"/>
              <w:bottom w:val="single" w:color="auto" w:sz="4" w:space="0"/>
              <w:right w:val="single" w:color="auto" w:sz="4" w:space="0"/>
            </w:tcBorders>
            <w:noWrap w:val="0"/>
            <w:vAlign w:val="center"/>
          </w:tcPr>
          <w:p>
            <w:pPr>
              <w:widowControl/>
              <w:spacing w:line="200" w:lineRule="exact"/>
              <w:jc w:val="center"/>
              <w:rPr>
                <w:rFonts w:hint="default" w:ascii="Times New Roman" w:hAnsi="Times New Roman" w:eastAsia="宋体" w:cs="Times New Roman"/>
                <w:kern w:val="0"/>
                <w:sz w:val="15"/>
                <w:szCs w:val="15"/>
              </w:rPr>
            </w:pPr>
          </w:p>
        </w:tc>
        <w:tc>
          <w:tcPr>
            <w:tcW w:w="92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267" w:hRule="exact"/>
          <w:jc w:val="center"/>
        </w:trPr>
        <w:tc>
          <w:tcPr>
            <w:tcW w:w="57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6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8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7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252" w:type="dxa"/>
            <w:gridSpan w:val="2"/>
            <w:tcBorders>
              <w:top w:val="nil"/>
              <w:left w:val="nil"/>
              <w:bottom w:val="single" w:color="auto" w:sz="4" w:space="0"/>
              <w:right w:val="single" w:color="auto" w:sz="4" w:space="0"/>
            </w:tcBorders>
            <w:noWrap w:val="0"/>
            <w:vAlign w:val="center"/>
          </w:tcPr>
          <w:p>
            <w:pPr>
              <w:widowControl/>
              <w:spacing w:line="200" w:lineRule="exact"/>
              <w:jc w:val="center"/>
              <w:rPr>
                <w:rFonts w:hint="default" w:ascii="Times New Roman" w:hAnsi="Times New Roman" w:eastAsia="宋体" w:cs="Times New Roman"/>
                <w:kern w:val="0"/>
                <w:sz w:val="15"/>
                <w:szCs w:val="15"/>
              </w:rPr>
            </w:pPr>
          </w:p>
        </w:tc>
        <w:tc>
          <w:tcPr>
            <w:tcW w:w="92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509" w:hRule="exact"/>
          <w:jc w:val="center"/>
        </w:trPr>
        <w:tc>
          <w:tcPr>
            <w:tcW w:w="57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61" w:type="dxa"/>
            <w:vMerge w:val="restart"/>
            <w:tcBorders>
              <w:top w:val="nil"/>
              <w:left w:val="single" w:color="auto" w:sz="4" w:space="0"/>
              <w:right w:val="single" w:color="auto" w:sz="4" w:space="0"/>
            </w:tcBorders>
            <w:noWrap w:val="0"/>
            <w:vAlign w:val="center"/>
          </w:tcPr>
          <w:p>
            <w:pPr>
              <w:widowControl/>
              <w:spacing w:line="160" w:lineRule="exact"/>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满意度</w:t>
            </w:r>
          </w:p>
          <w:p>
            <w:pPr>
              <w:widowControl/>
              <w:spacing w:line="160" w:lineRule="exact"/>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指标（分值共10分）</w:t>
            </w:r>
          </w:p>
        </w:tc>
        <w:tc>
          <w:tcPr>
            <w:tcW w:w="1089" w:type="dxa"/>
            <w:vMerge w:val="restart"/>
            <w:tcBorders>
              <w:top w:val="nil"/>
              <w:left w:val="single" w:color="auto" w:sz="4" w:space="0"/>
              <w:bottom w:val="single" w:color="auto" w:sz="4" w:space="0"/>
              <w:right w:val="single" w:color="auto" w:sz="4" w:space="0"/>
            </w:tcBorders>
            <w:noWrap w:val="0"/>
            <w:vAlign w:val="center"/>
          </w:tcPr>
          <w:p>
            <w:pPr>
              <w:widowControl/>
              <w:spacing w:line="160" w:lineRule="exact"/>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服务对象满意度指标</w:t>
            </w:r>
          </w:p>
        </w:tc>
        <w:tc>
          <w:tcPr>
            <w:tcW w:w="1774"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指标1：参会人员和会议服务人员满意度</w:t>
            </w:r>
          </w:p>
        </w:tc>
        <w:tc>
          <w:tcPr>
            <w:tcW w:w="1252" w:type="dxa"/>
            <w:gridSpan w:val="2"/>
            <w:tcBorders>
              <w:top w:val="nil"/>
              <w:left w:val="nil"/>
              <w:bottom w:val="single" w:color="auto" w:sz="4" w:space="0"/>
              <w:right w:val="single" w:color="auto" w:sz="4" w:space="0"/>
            </w:tcBorders>
            <w:noWrap w:val="0"/>
            <w:vAlign w:val="center"/>
          </w:tcPr>
          <w:p>
            <w:pPr>
              <w:widowControl/>
              <w:spacing w:line="200" w:lineRule="exact"/>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90%以上</w:t>
            </w:r>
          </w:p>
        </w:tc>
        <w:tc>
          <w:tcPr>
            <w:tcW w:w="929" w:type="dxa"/>
            <w:tcBorders>
              <w:top w:val="nil"/>
              <w:left w:val="nil"/>
              <w:bottom w:val="single" w:color="auto" w:sz="4" w:space="0"/>
              <w:right w:val="single" w:color="auto" w:sz="4" w:space="0"/>
            </w:tcBorders>
            <w:noWrap w:val="0"/>
            <w:vAlign w:val="center"/>
          </w:tcPr>
          <w:p>
            <w:pPr>
              <w:widowControl/>
              <w:spacing w:line="200" w:lineRule="exact"/>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基本完成目标值</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10</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9</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285" w:hRule="exact"/>
          <w:jc w:val="center"/>
        </w:trPr>
        <w:tc>
          <w:tcPr>
            <w:tcW w:w="57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61"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8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774"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w:t>
            </w:r>
          </w:p>
        </w:tc>
        <w:tc>
          <w:tcPr>
            <w:tcW w:w="12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2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312" w:hRule="exact"/>
          <w:jc w:val="center"/>
        </w:trPr>
        <w:tc>
          <w:tcPr>
            <w:tcW w:w="658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总分</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100</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99</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bl>
    <w:p>
      <w:pPr>
        <w:spacing w:line="580" w:lineRule="exact"/>
        <w:ind w:left="630"/>
        <w:rPr>
          <w:rFonts w:hint="default" w:ascii="Times New Roman" w:hAnsi="Times New Roman" w:cs="Times New Roman"/>
          <w:b/>
          <w:bCs/>
        </w:rPr>
      </w:pPr>
      <w:r>
        <w:rPr>
          <w:rFonts w:hint="default" w:ascii="Times New Roman" w:hAnsi="Times New Roman" w:eastAsia="宋体" w:cs="Times New Roman"/>
          <w:kern w:val="0"/>
          <w:sz w:val="18"/>
          <w:szCs w:val="18"/>
        </w:rPr>
        <w:t>备注：预算执行分值为10分、产出指标分值为50分、效益指标分值为30分、满意度指标分值为10分。</w:t>
      </w:r>
    </w:p>
    <w:tbl>
      <w:tblPr>
        <w:tblStyle w:val="13"/>
        <w:tblW w:w="9126" w:type="dxa"/>
        <w:jc w:val="center"/>
        <w:tblLayout w:type="autofit"/>
        <w:tblCellMar>
          <w:top w:w="0" w:type="dxa"/>
          <w:left w:w="108" w:type="dxa"/>
          <w:bottom w:w="0" w:type="dxa"/>
          <w:right w:w="108" w:type="dxa"/>
        </w:tblCellMar>
      </w:tblPr>
      <w:tblGrid>
        <w:gridCol w:w="570"/>
        <w:gridCol w:w="950"/>
        <w:gridCol w:w="1068"/>
        <w:gridCol w:w="694"/>
        <w:gridCol w:w="924"/>
        <w:gridCol w:w="175"/>
        <w:gridCol w:w="1421"/>
        <w:gridCol w:w="690"/>
        <w:gridCol w:w="276"/>
        <w:gridCol w:w="276"/>
        <w:gridCol w:w="411"/>
        <w:gridCol w:w="139"/>
        <w:gridCol w:w="692"/>
        <w:gridCol w:w="840"/>
      </w:tblGrid>
      <w:tr>
        <w:tblPrEx>
          <w:tblCellMar>
            <w:top w:w="0" w:type="dxa"/>
            <w:left w:w="108" w:type="dxa"/>
            <w:bottom w:w="0" w:type="dxa"/>
            <w:right w:w="108" w:type="dxa"/>
          </w:tblCellMar>
        </w:tblPrEx>
        <w:trPr>
          <w:trHeight w:val="558" w:hRule="exact"/>
          <w:jc w:val="center"/>
        </w:trPr>
        <w:tc>
          <w:tcPr>
            <w:tcW w:w="9126" w:type="dxa"/>
            <w:gridSpan w:val="14"/>
            <w:tcBorders>
              <w:top w:val="nil"/>
              <w:left w:val="nil"/>
              <w:bottom w:val="nil"/>
              <w:right w:val="nil"/>
            </w:tcBorders>
            <w:noWrap w:val="0"/>
            <w:vAlign w:val="center"/>
          </w:tcPr>
          <w:p>
            <w:pPr>
              <w:widowControl/>
              <w:spacing w:line="360" w:lineRule="exact"/>
              <w:jc w:val="center"/>
              <w:rPr>
                <w:rFonts w:hint="default" w:ascii="Times New Roman" w:hAnsi="Times New Roman" w:eastAsia="方正小标宋简体" w:cs="Times New Roman"/>
                <w:bCs/>
                <w:color w:val="000000"/>
                <w:kern w:val="0"/>
                <w:szCs w:val="32"/>
              </w:rPr>
            </w:pPr>
            <w:r>
              <w:rPr>
                <w:rFonts w:hint="default" w:ascii="Times New Roman" w:hAnsi="Times New Roman" w:eastAsia="方正小标宋简体" w:cs="Times New Roman"/>
                <w:bCs/>
                <w:color w:val="000000"/>
                <w:kern w:val="0"/>
                <w:szCs w:val="32"/>
              </w:rPr>
              <w:t>自贡市政协办公室项目支出绩效自评表</w:t>
            </w:r>
          </w:p>
        </w:tc>
      </w:tr>
      <w:tr>
        <w:tblPrEx>
          <w:tblCellMar>
            <w:top w:w="0" w:type="dxa"/>
            <w:left w:w="108" w:type="dxa"/>
            <w:bottom w:w="0" w:type="dxa"/>
            <w:right w:w="108" w:type="dxa"/>
          </w:tblCellMar>
        </w:tblPrEx>
        <w:trPr>
          <w:trHeight w:val="100" w:hRule="atLeast"/>
          <w:jc w:val="center"/>
        </w:trPr>
        <w:tc>
          <w:tcPr>
            <w:tcW w:w="9126" w:type="dxa"/>
            <w:gridSpan w:val="14"/>
            <w:tcBorders>
              <w:top w:val="nil"/>
              <w:left w:val="nil"/>
              <w:bottom w:val="nil"/>
              <w:right w:val="nil"/>
            </w:tcBorders>
            <w:noWrap w:val="0"/>
            <w:vAlign w:val="top"/>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（2021年度）</w:t>
            </w:r>
          </w:p>
        </w:tc>
      </w:tr>
      <w:tr>
        <w:tblPrEx>
          <w:tblCellMar>
            <w:top w:w="0" w:type="dxa"/>
            <w:left w:w="108" w:type="dxa"/>
            <w:bottom w:w="0" w:type="dxa"/>
            <w:right w:w="108" w:type="dxa"/>
          </w:tblCellMar>
        </w:tblPrEx>
        <w:trPr>
          <w:trHeight w:val="594" w:hRule="exact"/>
          <w:jc w:val="center"/>
        </w:trPr>
        <w:tc>
          <w:tcPr>
            <w:tcW w:w="15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项目名称</w:t>
            </w:r>
          </w:p>
        </w:tc>
        <w:tc>
          <w:tcPr>
            <w:tcW w:w="7606"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ind w:firstLine="2100" w:firstLineChars="1000"/>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21"/>
                <w:szCs w:val="21"/>
              </w:rPr>
              <w:t>内刊编辑出版专项</w:t>
            </w:r>
          </w:p>
        </w:tc>
      </w:tr>
      <w:tr>
        <w:tblPrEx>
          <w:tblCellMar>
            <w:top w:w="0" w:type="dxa"/>
            <w:left w:w="108" w:type="dxa"/>
            <w:bottom w:w="0" w:type="dxa"/>
            <w:right w:w="108" w:type="dxa"/>
          </w:tblCellMar>
        </w:tblPrEx>
        <w:trPr>
          <w:trHeight w:val="267" w:hRule="exact"/>
          <w:jc w:val="center"/>
        </w:trPr>
        <w:tc>
          <w:tcPr>
            <w:tcW w:w="15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主管部门</w:t>
            </w:r>
          </w:p>
        </w:tc>
        <w:tc>
          <w:tcPr>
            <w:tcW w:w="428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6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实施单位</w:t>
            </w:r>
          </w:p>
        </w:tc>
        <w:tc>
          <w:tcPr>
            <w:tcW w:w="235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自贡市政协办公室</w:t>
            </w:r>
          </w:p>
        </w:tc>
      </w:tr>
      <w:tr>
        <w:tblPrEx>
          <w:tblCellMar>
            <w:top w:w="0" w:type="dxa"/>
            <w:left w:w="108" w:type="dxa"/>
            <w:bottom w:w="0" w:type="dxa"/>
            <w:right w:w="108" w:type="dxa"/>
          </w:tblCellMar>
        </w:tblPrEx>
        <w:trPr>
          <w:trHeight w:val="267" w:hRule="exact"/>
          <w:jc w:val="center"/>
        </w:trPr>
        <w:tc>
          <w:tcPr>
            <w:tcW w:w="152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项目资金</w:t>
            </w:r>
          </w:p>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（万元）</w:t>
            </w:r>
          </w:p>
        </w:tc>
        <w:tc>
          <w:tcPr>
            <w:tcW w:w="17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9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年初预算数</w:t>
            </w:r>
          </w:p>
        </w:tc>
        <w:tc>
          <w:tcPr>
            <w:tcW w:w="142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全年预算数</w:t>
            </w:r>
          </w:p>
        </w:tc>
        <w:tc>
          <w:tcPr>
            <w:tcW w:w="96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全年执行数</w:t>
            </w:r>
          </w:p>
        </w:tc>
        <w:tc>
          <w:tcPr>
            <w:tcW w:w="68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分值</w:t>
            </w:r>
          </w:p>
        </w:tc>
        <w:tc>
          <w:tcPr>
            <w:tcW w:w="83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执行率</w:t>
            </w:r>
          </w:p>
        </w:tc>
        <w:tc>
          <w:tcPr>
            <w:tcW w:w="84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得分</w:t>
            </w:r>
          </w:p>
        </w:tc>
      </w:tr>
      <w:tr>
        <w:tblPrEx>
          <w:tblCellMar>
            <w:top w:w="0" w:type="dxa"/>
            <w:left w:w="108" w:type="dxa"/>
            <w:bottom w:w="0" w:type="dxa"/>
            <w:right w:w="108" w:type="dxa"/>
          </w:tblCellMar>
        </w:tblPrEx>
        <w:trPr>
          <w:trHeight w:val="267" w:hRule="exact"/>
          <w:jc w:val="center"/>
        </w:trPr>
        <w:tc>
          <w:tcPr>
            <w:tcW w:w="15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7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年度资金总额</w:t>
            </w:r>
          </w:p>
        </w:tc>
        <w:tc>
          <w:tcPr>
            <w:tcW w:w="109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16</w:t>
            </w:r>
          </w:p>
        </w:tc>
        <w:tc>
          <w:tcPr>
            <w:tcW w:w="142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16</w:t>
            </w:r>
          </w:p>
        </w:tc>
        <w:tc>
          <w:tcPr>
            <w:tcW w:w="96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16</w:t>
            </w:r>
          </w:p>
        </w:tc>
        <w:tc>
          <w:tcPr>
            <w:tcW w:w="68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10</w:t>
            </w:r>
          </w:p>
        </w:tc>
        <w:tc>
          <w:tcPr>
            <w:tcW w:w="83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100%</w:t>
            </w:r>
          </w:p>
        </w:tc>
        <w:tc>
          <w:tcPr>
            <w:tcW w:w="84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10</w:t>
            </w:r>
          </w:p>
        </w:tc>
      </w:tr>
      <w:tr>
        <w:tblPrEx>
          <w:tblCellMar>
            <w:top w:w="0" w:type="dxa"/>
            <w:left w:w="108" w:type="dxa"/>
            <w:bottom w:w="0" w:type="dxa"/>
            <w:right w:w="108" w:type="dxa"/>
          </w:tblCellMar>
        </w:tblPrEx>
        <w:trPr>
          <w:trHeight w:val="267" w:hRule="exact"/>
          <w:jc w:val="center"/>
        </w:trPr>
        <w:tc>
          <w:tcPr>
            <w:tcW w:w="15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7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其中：当年财政拨款</w:t>
            </w:r>
          </w:p>
        </w:tc>
        <w:tc>
          <w:tcPr>
            <w:tcW w:w="109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16</w:t>
            </w:r>
          </w:p>
        </w:tc>
        <w:tc>
          <w:tcPr>
            <w:tcW w:w="142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16</w:t>
            </w:r>
          </w:p>
        </w:tc>
        <w:tc>
          <w:tcPr>
            <w:tcW w:w="96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16</w:t>
            </w:r>
          </w:p>
        </w:tc>
        <w:tc>
          <w:tcPr>
            <w:tcW w:w="68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w:t>
            </w:r>
          </w:p>
        </w:tc>
        <w:tc>
          <w:tcPr>
            <w:tcW w:w="83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100%</w:t>
            </w:r>
          </w:p>
        </w:tc>
        <w:tc>
          <w:tcPr>
            <w:tcW w:w="84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w:t>
            </w:r>
          </w:p>
        </w:tc>
      </w:tr>
      <w:tr>
        <w:tblPrEx>
          <w:tblCellMar>
            <w:top w:w="0" w:type="dxa"/>
            <w:left w:w="108" w:type="dxa"/>
            <w:bottom w:w="0" w:type="dxa"/>
            <w:right w:w="108" w:type="dxa"/>
          </w:tblCellMar>
        </w:tblPrEx>
        <w:trPr>
          <w:trHeight w:val="267" w:hRule="exact"/>
          <w:jc w:val="center"/>
        </w:trPr>
        <w:tc>
          <w:tcPr>
            <w:tcW w:w="15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7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上年结转资金</w:t>
            </w:r>
          </w:p>
        </w:tc>
        <w:tc>
          <w:tcPr>
            <w:tcW w:w="109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w:t>
            </w:r>
          </w:p>
        </w:tc>
        <w:tc>
          <w:tcPr>
            <w:tcW w:w="142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w:t>
            </w:r>
          </w:p>
        </w:tc>
        <w:tc>
          <w:tcPr>
            <w:tcW w:w="96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w:t>
            </w:r>
          </w:p>
        </w:tc>
        <w:tc>
          <w:tcPr>
            <w:tcW w:w="68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w:t>
            </w:r>
          </w:p>
        </w:tc>
        <w:tc>
          <w:tcPr>
            <w:tcW w:w="83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84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w:t>
            </w:r>
          </w:p>
        </w:tc>
      </w:tr>
      <w:tr>
        <w:tblPrEx>
          <w:tblCellMar>
            <w:top w:w="0" w:type="dxa"/>
            <w:left w:w="108" w:type="dxa"/>
            <w:bottom w:w="0" w:type="dxa"/>
            <w:right w:w="108" w:type="dxa"/>
          </w:tblCellMar>
        </w:tblPrEx>
        <w:trPr>
          <w:trHeight w:val="267" w:hRule="exact"/>
          <w:jc w:val="center"/>
        </w:trPr>
        <w:tc>
          <w:tcPr>
            <w:tcW w:w="15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7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其他资金</w:t>
            </w:r>
          </w:p>
        </w:tc>
        <w:tc>
          <w:tcPr>
            <w:tcW w:w="109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w:t>
            </w:r>
          </w:p>
        </w:tc>
        <w:tc>
          <w:tcPr>
            <w:tcW w:w="142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w:t>
            </w:r>
          </w:p>
        </w:tc>
        <w:tc>
          <w:tcPr>
            <w:tcW w:w="96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w:t>
            </w:r>
          </w:p>
        </w:tc>
        <w:tc>
          <w:tcPr>
            <w:tcW w:w="68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w:t>
            </w:r>
          </w:p>
        </w:tc>
        <w:tc>
          <w:tcPr>
            <w:tcW w:w="83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84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w:t>
            </w:r>
          </w:p>
        </w:tc>
      </w:tr>
      <w:tr>
        <w:tblPrEx>
          <w:tblCellMar>
            <w:top w:w="0" w:type="dxa"/>
            <w:left w:w="108" w:type="dxa"/>
            <w:bottom w:w="0" w:type="dxa"/>
            <w:right w:w="108" w:type="dxa"/>
          </w:tblCellMar>
        </w:tblPrEx>
        <w:trPr>
          <w:trHeight w:val="267" w:hRule="exact"/>
          <w:jc w:val="center"/>
        </w:trPr>
        <w:tc>
          <w:tcPr>
            <w:tcW w:w="57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年度总体目标</w:t>
            </w:r>
          </w:p>
        </w:tc>
        <w:tc>
          <w:tcPr>
            <w:tcW w:w="523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预期目标</w:t>
            </w:r>
          </w:p>
        </w:tc>
        <w:tc>
          <w:tcPr>
            <w:tcW w:w="3324"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实际完成情况</w:t>
            </w:r>
          </w:p>
        </w:tc>
      </w:tr>
      <w:tr>
        <w:tblPrEx>
          <w:tblCellMar>
            <w:top w:w="0" w:type="dxa"/>
            <w:left w:w="108" w:type="dxa"/>
            <w:bottom w:w="0" w:type="dxa"/>
            <w:right w:w="108" w:type="dxa"/>
          </w:tblCellMar>
        </w:tblPrEx>
        <w:trPr>
          <w:trHeight w:val="760" w:hRule="exact"/>
          <w:jc w:val="center"/>
        </w:trPr>
        <w:tc>
          <w:tcPr>
            <w:tcW w:w="5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23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按年初制定的目标任务，完成《自贡政协》3-4期，《自贡文史》2-3期。</w:t>
            </w:r>
          </w:p>
        </w:tc>
        <w:tc>
          <w:tcPr>
            <w:tcW w:w="3324"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sz w:val="18"/>
                <w:szCs w:val="18"/>
              </w:rPr>
              <w:t>完成目标任务</w:t>
            </w:r>
          </w:p>
        </w:tc>
      </w:tr>
      <w:tr>
        <w:tblPrEx>
          <w:tblCellMar>
            <w:top w:w="0" w:type="dxa"/>
            <w:left w:w="108" w:type="dxa"/>
            <w:bottom w:w="0" w:type="dxa"/>
            <w:right w:w="108" w:type="dxa"/>
          </w:tblCellMar>
        </w:tblPrEx>
        <w:trPr>
          <w:trHeight w:val="267" w:hRule="exact"/>
          <w:jc w:val="center"/>
        </w:trPr>
        <w:tc>
          <w:tcPr>
            <w:tcW w:w="570" w:type="dxa"/>
            <w:vMerge w:val="restart"/>
            <w:tcBorders>
              <w:top w:val="nil"/>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绩</w:t>
            </w:r>
          </w:p>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效</w:t>
            </w:r>
          </w:p>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指</w:t>
            </w:r>
          </w:p>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标</w:t>
            </w:r>
          </w:p>
        </w:tc>
        <w:tc>
          <w:tcPr>
            <w:tcW w:w="9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一级指标</w:t>
            </w:r>
          </w:p>
        </w:tc>
        <w:tc>
          <w:tcPr>
            <w:tcW w:w="106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二级指标</w:t>
            </w:r>
          </w:p>
        </w:tc>
        <w:tc>
          <w:tcPr>
            <w:tcW w:w="161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三级指标</w:t>
            </w:r>
          </w:p>
        </w:tc>
        <w:tc>
          <w:tcPr>
            <w:tcW w:w="15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年度</w:t>
            </w:r>
          </w:p>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指标值</w:t>
            </w:r>
          </w:p>
        </w:tc>
        <w:tc>
          <w:tcPr>
            <w:tcW w:w="69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实际</w:t>
            </w:r>
          </w:p>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完成值</w:t>
            </w: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分值</w:t>
            </w:r>
          </w:p>
        </w:tc>
        <w:tc>
          <w:tcPr>
            <w:tcW w:w="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得分</w:t>
            </w:r>
          </w:p>
        </w:tc>
        <w:tc>
          <w:tcPr>
            <w:tcW w:w="15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偏差原因分析及改进措施</w:t>
            </w:r>
          </w:p>
        </w:tc>
      </w:tr>
      <w:tr>
        <w:tblPrEx>
          <w:tblCellMar>
            <w:top w:w="0" w:type="dxa"/>
            <w:left w:w="108" w:type="dxa"/>
            <w:bottom w:w="0" w:type="dxa"/>
            <w:right w:w="108" w:type="dxa"/>
          </w:tblCellMar>
        </w:tblPrEx>
        <w:trPr>
          <w:trHeight w:val="267" w:hRule="exact"/>
          <w:jc w:val="center"/>
        </w:trPr>
        <w:tc>
          <w:tcPr>
            <w:tcW w:w="570"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50" w:type="dxa"/>
            <w:vMerge w:val="restart"/>
            <w:tcBorders>
              <w:top w:val="nil"/>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完成指标（分值共50分）</w:t>
            </w:r>
          </w:p>
        </w:tc>
        <w:tc>
          <w:tcPr>
            <w:tcW w:w="106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数量指标</w:t>
            </w:r>
          </w:p>
        </w:tc>
        <w:tc>
          <w:tcPr>
            <w:tcW w:w="161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指标1：《自贡政协》</w:t>
            </w:r>
          </w:p>
        </w:tc>
        <w:tc>
          <w:tcPr>
            <w:tcW w:w="15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3-4期</w:t>
            </w:r>
          </w:p>
        </w:tc>
        <w:tc>
          <w:tcPr>
            <w:tcW w:w="69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w:t>
            </w: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10</w:t>
            </w:r>
          </w:p>
        </w:tc>
        <w:tc>
          <w:tcPr>
            <w:tcW w:w="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10</w:t>
            </w:r>
          </w:p>
        </w:tc>
        <w:tc>
          <w:tcPr>
            <w:tcW w:w="15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267" w:hRule="exact"/>
          <w:jc w:val="center"/>
        </w:trPr>
        <w:tc>
          <w:tcPr>
            <w:tcW w:w="570"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50"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6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61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指标2：《自贡文史》察</w:t>
            </w:r>
          </w:p>
        </w:tc>
        <w:tc>
          <w:tcPr>
            <w:tcW w:w="15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2-3期</w:t>
            </w:r>
          </w:p>
        </w:tc>
        <w:tc>
          <w:tcPr>
            <w:tcW w:w="69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w:t>
            </w: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10</w:t>
            </w:r>
          </w:p>
        </w:tc>
        <w:tc>
          <w:tcPr>
            <w:tcW w:w="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10</w:t>
            </w:r>
          </w:p>
        </w:tc>
        <w:tc>
          <w:tcPr>
            <w:tcW w:w="15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741" w:hRule="exact"/>
          <w:jc w:val="center"/>
        </w:trPr>
        <w:tc>
          <w:tcPr>
            <w:tcW w:w="570"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50"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68" w:type="dxa"/>
            <w:vMerge w:val="restart"/>
            <w:tcBorders>
              <w:top w:val="nil"/>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质量指标</w:t>
            </w:r>
          </w:p>
        </w:tc>
        <w:tc>
          <w:tcPr>
            <w:tcW w:w="161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指标1：编印质量</w:t>
            </w:r>
          </w:p>
        </w:tc>
        <w:tc>
          <w:tcPr>
            <w:tcW w:w="15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5"/>
                <w:szCs w:val="15"/>
              </w:rPr>
              <w:t>高标准、高质量完成内刊编印任务。</w:t>
            </w:r>
          </w:p>
        </w:tc>
        <w:tc>
          <w:tcPr>
            <w:tcW w:w="69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完成目标值</w:t>
            </w: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10</w:t>
            </w:r>
          </w:p>
        </w:tc>
        <w:tc>
          <w:tcPr>
            <w:tcW w:w="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10</w:t>
            </w:r>
          </w:p>
        </w:tc>
        <w:tc>
          <w:tcPr>
            <w:tcW w:w="15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267" w:hRule="exact"/>
          <w:jc w:val="center"/>
        </w:trPr>
        <w:tc>
          <w:tcPr>
            <w:tcW w:w="570"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50"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6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61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5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69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5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267" w:hRule="exact"/>
          <w:jc w:val="center"/>
        </w:trPr>
        <w:tc>
          <w:tcPr>
            <w:tcW w:w="570"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50"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68" w:type="dxa"/>
            <w:vMerge w:val="restart"/>
            <w:tcBorders>
              <w:top w:val="nil"/>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时效指标</w:t>
            </w:r>
          </w:p>
        </w:tc>
        <w:tc>
          <w:tcPr>
            <w:tcW w:w="161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指标1：</w:t>
            </w:r>
          </w:p>
        </w:tc>
        <w:tc>
          <w:tcPr>
            <w:tcW w:w="15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69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5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267" w:hRule="exact"/>
          <w:jc w:val="center"/>
        </w:trPr>
        <w:tc>
          <w:tcPr>
            <w:tcW w:w="570"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50"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6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61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5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69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5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712" w:hRule="exact"/>
          <w:jc w:val="center"/>
        </w:trPr>
        <w:tc>
          <w:tcPr>
            <w:tcW w:w="570"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50"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68" w:type="dxa"/>
            <w:vMerge w:val="restart"/>
            <w:tcBorders>
              <w:top w:val="nil"/>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成本指标</w:t>
            </w:r>
          </w:p>
        </w:tc>
        <w:tc>
          <w:tcPr>
            <w:tcW w:w="161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指标1：成本控制</w:t>
            </w:r>
          </w:p>
        </w:tc>
        <w:tc>
          <w:tcPr>
            <w:tcW w:w="1596"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严格按照机关各项财经纪律规定执行。目标值16万元。</w:t>
            </w:r>
          </w:p>
        </w:tc>
        <w:tc>
          <w:tcPr>
            <w:tcW w:w="690" w:type="dxa"/>
            <w:tcBorders>
              <w:top w:val="nil"/>
              <w:left w:val="nil"/>
              <w:bottom w:val="single" w:color="auto" w:sz="4" w:space="0"/>
              <w:right w:val="single" w:color="auto" w:sz="4" w:space="0"/>
            </w:tcBorders>
            <w:noWrap w:val="0"/>
            <w:vAlign w:val="center"/>
          </w:tcPr>
          <w:p>
            <w:pPr>
              <w:widowControl/>
              <w:spacing w:line="18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完成目标值</w:t>
            </w: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20</w:t>
            </w:r>
          </w:p>
        </w:tc>
        <w:tc>
          <w:tcPr>
            <w:tcW w:w="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20</w:t>
            </w:r>
          </w:p>
        </w:tc>
        <w:tc>
          <w:tcPr>
            <w:tcW w:w="15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267" w:hRule="exact"/>
          <w:jc w:val="center"/>
        </w:trPr>
        <w:tc>
          <w:tcPr>
            <w:tcW w:w="570"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5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6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61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5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69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5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963" w:hRule="exact"/>
          <w:jc w:val="center"/>
        </w:trPr>
        <w:tc>
          <w:tcPr>
            <w:tcW w:w="570"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5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效益指标（分值共30分）</w:t>
            </w:r>
          </w:p>
        </w:tc>
        <w:tc>
          <w:tcPr>
            <w:tcW w:w="1068"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经济效益</w:t>
            </w:r>
          </w:p>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指标</w:t>
            </w:r>
          </w:p>
        </w:tc>
        <w:tc>
          <w:tcPr>
            <w:tcW w:w="161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指标1：经济效益</w:t>
            </w:r>
          </w:p>
        </w:tc>
        <w:tc>
          <w:tcPr>
            <w:tcW w:w="1596"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通过内刊宣传报道，促使政协履职成果转化，促进经济社会发展</w:t>
            </w:r>
          </w:p>
        </w:tc>
        <w:tc>
          <w:tcPr>
            <w:tcW w:w="69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完成目标值</w:t>
            </w: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w:t>
            </w:r>
          </w:p>
        </w:tc>
        <w:tc>
          <w:tcPr>
            <w:tcW w:w="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w:t>
            </w:r>
          </w:p>
        </w:tc>
        <w:tc>
          <w:tcPr>
            <w:tcW w:w="15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872" w:hRule="exact"/>
          <w:jc w:val="center"/>
        </w:trPr>
        <w:tc>
          <w:tcPr>
            <w:tcW w:w="570"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68"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社会效益</w:t>
            </w:r>
          </w:p>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指标</w:t>
            </w:r>
          </w:p>
        </w:tc>
        <w:tc>
          <w:tcPr>
            <w:tcW w:w="161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指标1：社会效益</w:t>
            </w:r>
          </w:p>
        </w:tc>
        <w:tc>
          <w:tcPr>
            <w:tcW w:w="1596"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5"/>
                <w:szCs w:val="15"/>
              </w:rPr>
              <w:t>通过内刊宣传报道，更好地宣传自贡政协，树立良好社会形象</w:t>
            </w:r>
          </w:p>
        </w:tc>
        <w:tc>
          <w:tcPr>
            <w:tcW w:w="69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完成目标值</w:t>
            </w: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w:t>
            </w:r>
          </w:p>
        </w:tc>
        <w:tc>
          <w:tcPr>
            <w:tcW w:w="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w:t>
            </w:r>
          </w:p>
        </w:tc>
        <w:tc>
          <w:tcPr>
            <w:tcW w:w="15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267" w:hRule="exact"/>
          <w:jc w:val="center"/>
        </w:trPr>
        <w:tc>
          <w:tcPr>
            <w:tcW w:w="570"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6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生态效益</w:t>
            </w:r>
          </w:p>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指标</w:t>
            </w:r>
          </w:p>
        </w:tc>
        <w:tc>
          <w:tcPr>
            <w:tcW w:w="161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指标1：</w:t>
            </w:r>
          </w:p>
        </w:tc>
        <w:tc>
          <w:tcPr>
            <w:tcW w:w="15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69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5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267" w:hRule="exact"/>
          <w:jc w:val="center"/>
        </w:trPr>
        <w:tc>
          <w:tcPr>
            <w:tcW w:w="570"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6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61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5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69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5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267" w:hRule="exact"/>
          <w:jc w:val="center"/>
        </w:trPr>
        <w:tc>
          <w:tcPr>
            <w:tcW w:w="570"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6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可持续影响指标</w:t>
            </w:r>
          </w:p>
        </w:tc>
        <w:tc>
          <w:tcPr>
            <w:tcW w:w="161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指标1：</w:t>
            </w:r>
          </w:p>
        </w:tc>
        <w:tc>
          <w:tcPr>
            <w:tcW w:w="15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69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5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267" w:hRule="exact"/>
          <w:jc w:val="center"/>
        </w:trPr>
        <w:tc>
          <w:tcPr>
            <w:tcW w:w="570"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6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61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5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69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5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993" w:hRule="exact"/>
          <w:jc w:val="center"/>
        </w:trPr>
        <w:tc>
          <w:tcPr>
            <w:tcW w:w="570"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50" w:type="dxa"/>
            <w:vMerge w:val="restart"/>
            <w:tcBorders>
              <w:top w:val="nil"/>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满意度</w:t>
            </w:r>
          </w:p>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指标（分值共10分）</w:t>
            </w:r>
          </w:p>
        </w:tc>
        <w:tc>
          <w:tcPr>
            <w:tcW w:w="106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服务对象满意度指标</w:t>
            </w:r>
          </w:p>
        </w:tc>
        <w:tc>
          <w:tcPr>
            <w:tcW w:w="161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指标1：服务对象满意度</w:t>
            </w:r>
          </w:p>
        </w:tc>
        <w:tc>
          <w:tcPr>
            <w:tcW w:w="15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5"/>
                <w:szCs w:val="15"/>
              </w:rPr>
            </w:pPr>
            <w:r>
              <w:rPr>
                <w:rFonts w:hint="default" w:ascii="Times New Roman" w:hAnsi="Times New Roman" w:eastAsia="宋体" w:cs="Times New Roman"/>
                <w:color w:val="000000"/>
                <w:kern w:val="0"/>
                <w:sz w:val="18"/>
                <w:szCs w:val="18"/>
              </w:rPr>
              <w:t>90%以上</w:t>
            </w:r>
          </w:p>
        </w:tc>
        <w:tc>
          <w:tcPr>
            <w:tcW w:w="69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基本完成指标值</w:t>
            </w: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10</w:t>
            </w:r>
          </w:p>
        </w:tc>
        <w:tc>
          <w:tcPr>
            <w:tcW w:w="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9</w:t>
            </w:r>
          </w:p>
        </w:tc>
        <w:tc>
          <w:tcPr>
            <w:tcW w:w="15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494" w:hRule="exact"/>
          <w:jc w:val="center"/>
        </w:trPr>
        <w:tc>
          <w:tcPr>
            <w:tcW w:w="57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95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06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61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5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69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c>
          <w:tcPr>
            <w:tcW w:w="15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312" w:hRule="exact"/>
          <w:jc w:val="center"/>
        </w:trPr>
        <w:tc>
          <w:tcPr>
            <w:tcW w:w="6492"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总分</w:t>
            </w: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100</w:t>
            </w:r>
          </w:p>
        </w:tc>
        <w:tc>
          <w:tcPr>
            <w:tcW w:w="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99</w:t>
            </w:r>
          </w:p>
        </w:tc>
        <w:tc>
          <w:tcPr>
            <w:tcW w:w="15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rPr>
            </w:pPr>
          </w:p>
        </w:tc>
      </w:tr>
    </w:tbl>
    <w:p>
      <w:pPr>
        <w:widowControl/>
        <w:spacing w:line="592" w:lineRule="exact"/>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备注：预算执行分值为10分、产出指标分值为50分、效益指标分值为30分、满意度指标分值为10分。</w:t>
      </w:r>
    </w:p>
    <w:bookmarkEnd w:id="109"/>
    <w:bookmarkEnd w:id="144"/>
    <w:p>
      <w:pPr>
        <w:spacing w:line="600" w:lineRule="exact"/>
        <w:jc w:val="center"/>
        <w:outlineLvl w:val="0"/>
        <w:rPr>
          <w:rFonts w:hint="default" w:ascii="Times New Roman" w:hAnsi="Times New Roman" w:eastAsia="仿宋" w:cs="Times New Roman"/>
          <w:b/>
          <w:color w:val="000000"/>
          <w:sz w:val="44"/>
          <w:szCs w:val="44"/>
        </w:rPr>
      </w:pPr>
      <w:bookmarkStart w:id="145" w:name="_Toc1870001886"/>
      <w:bookmarkStart w:id="146" w:name="_Toc921"/>
      <w:bookmarkStart w:id="147" w:name="_Toc21580"/>
      <w:bookmarkStart w:id="148" w:name="_Toc12502"/>
      <w:bookmarkStart w:id="149" w:name="_Toc20380"/>
      <w:r>
        <w:rPr>
          <w:rFonts w:hint="default" w:ascii="Times New Roman" w:hAnsi="Times New Roman" w:eastAsia="黑体" w:cs="Times New Roman"/>
          <w:color w:val="000000"/>
          <w:sz w:val="44"/>
          <w:szCs w:val="44"/>
        </w:rPr>
        <w:t>第</w:t>
      </w:r>
      <w:r>
        <w:rPr>
          <w:rStyle w:val="26"/>
          <w:rFonts w:hint="default" w:ascii="Times New Roman" w:hAnsi="Times New Roman" w:eastAsia="黑体" w:cs="Times New Roman"/>
          <w:b w:val="0"/>
        </w:rPr>
        <w:t>五部分 附表</w:t>
      </w:r>
      <w:bookmarkEnd w:id="145"/>
      <w:bookmarkEnd w:id="146"/>
      <w:bookmarkEnd w:id="147"/>
      <w:bookmarkEnd w:id="148"/>
      <w:bookmarkEnd w:id="149"/>
    </w:p>
    <w:p>
      <w:pPr>
        <w:pStyle w:val="3"/>
        <w:rPr>
          <w:rFonts w:hint="default" w:ascii="Times New Roman" w:hAnsi="Times New Roman" w:eastAsia="仿宋" w:cs="Times New Roman"/>
          <w:color w:val="auto"/>
          <w:highlight w:val="none"/>
        </w:rPr>
      </w:pPr>
      <w:bookmarkStart w:id="150" w:name="_Toc1390867476"/>
      <w:bookmarkStart w:id="151" w:name="_Toc7380"/>
      <w:bookmarkStart w:id="152" w:name="_Toc7458"/>
      <w:bookmarkStart w:id="153" w:name="_Toc21215"/>
      <w:bookmarkStart w:id="154" w:name="_Toc30491"/>
      <w:r>
        <w:rPr>
          <w:rFonts w:hint="default" w:ascii="Times New Roman" w:hAnsi="Times New Roman" w:eastAsia="仿宋" w:cs="Times New Roman"/>
          <w:b w:val="0"/>
          <w:color w:val="auto"/>
          <w:highlight w:val="none"/>
        </w:rPr>
        <w:t>一、收</w:t>
      </w:r>
      <w:r>
        <w:rPr>
          <w:rStyle w:val="27"/>
          <w:rFonts w:hint="default" w:ascii="Times New Roman" w:hAnsi="Times New Roman" w:eastAsia="仿宋" w:cs="Times New Roman"/>
          <w:b w:val="0"/>
          <w:bCs w:val="0"/>
          <w:color w:val="auto"/>
          <w:highlight w:val="none"/>
        </w:rPr>
        <w:t>入支出决算总表</w:t>
      </w:r>
      <w:bookmarkEnd w:id="150"/>
      <w:bookmarkEnd w:id="151"/>
      <w:bookmarkEnd w:id="152"/>
      <w:bookmarkEnd w:id="153"/>
      <w:bookmarkEnd w:id="154"/>
    </w:p>
    <w:p>
      <w:pPr>
        <w:pStyle w:val="3"/>
        <w:rPr>
          <w:rFonts w:hint="default" w:ascii="Times New Roman" w:hAnsi="Times New Roman" w:eastAsia="仿宋" w:cs="Times New Roman"/>
          <w:color w:val="auto"/>
          <w:highlight w:val="none"/>
        </w:rPr>
      </w:pPr>
      <w:bookmarkStart w:id="155" w:name="_Toc1652251637"/>
      <w:bookmarkStart w:id="156" w:name="_Toc15396620"/>
      <w:bookmarkStart w:id="157" w:name="_Toc31486"/>
      <w:bookmarkStart w:id="158" w:name="_Toc22462"/>
      <w:bookmarkStart w:id="159" w:name="_Toc22814"/>
      <w:bookmarkStart w:id="160" w:name="_Toc25641"/>
      <w:r>
        <w:rPr>
          <w:rFonts w:hint="default" w:ascii="Times New Roman" w:hAnsi="Times New Roman" w:eastAsia="仿宋" w:cs="Times New Roman"/>
          <w:b w:val="0"/>
          <w:color w:val="auto"/>
          <w:highlight w:val="none"/>
        </w:rPr>
        <w:t>二、收</w:t>
      </w:r>
      <w:r>
        <w:rPr>
          <w:rStyle w:val="27"/>
          <w:rFonts w:hint="default" w:ascii="Times New Roman" w:hAnsi="Times New Roman" w:eastAsia="仿宋" w:cs="Times New Roman"/>
          <w:b w:val="0"/>
          <w:bCs w:val="0"/>
          <w:color w:val="auto"/>
          <w:highlight w:val="none"/>
        </w:rPr>
        <w:t>入决算表</w:t>
      </w:r>
      <w:bookmarkEnd w:id="155"/>
      <w:bookmarkEnd w:id="156"/>
      <w:bookmarkEnd w:id="157"/>
      <w:bookmarkEnd w:id="158"/>
      <w:bookmarkEnd w:id="159"/>
      <w:bookmarkEnd w:id="160"/>
    </w:p>
    <w:p>
      <w:pPr>
        <w:pStyle w:val="3"/>
        <w:rPr>
          <w:rFonts w:hint="default" w:ascii="Times New Roman" w:hAnsi="Times New Roman" w:eastAsia="仿宋" w:cs="Times New Roman"/>
          <w:color w:val="auto"/>
          <w:highlight w:val="none"/>
        </w:rPr>
      </w:pPr>
      <w:bookmarkStart w:id="161" w:name="_Toc15396621"/>
      <w:bookmarkStart w:id="162" w:name="_Toc1702751313"/>
      <w:bookmarkStart w:id="163" w:name="_Toc26587"/>
      <w:bookmarkStart w:id="164" w:name="_Toc6659"/>
      <w:bookmarkStart w:id="165" w:name="_Toc8254"/>
      <w:bookmarkStart w:id="166" w:name="_Toc27530"/>
      <w:r>
        <w:rPr>
          <w:rStyle w:val="27"/>
          <w:rFonts w:hint="default" w:ascii="Times New Roman" w:hAnsi="Times New Roman" w:eastAsia="仿宋" w:cs="Times New Roman"/>
          <w:b w:val="0"/>
          <w:bCs w:val="0"/>
          <w:color w:val="auto"/>
          <w:highlight w:val="none"/>
        </w:rPr>
        <w:t>三、</w:t>
      </w:r>
      <w:r>
        <w:rPr>
          <w:rFonts w:hint="default" w:ascii="Times New Roman" w:hAnsi="Times New Roman" w:eastAsia="仿宋" w:cs="Times New Roman"/>
          <w:b w:val="0"/>
          <w:color w:val="auto"/>
          <w:highlight w:val="none"/>
        </w:rPr>
        <w:t>支</w:t>
      </w:r>
      <w:r>
        <w:rPr>
          <w:rStyle w:val="27"/>
          <w:rFonts w:hint="default" w:ascii="Times New Roman" w:hAnsi="Times New Roman" w:eastAsia="仿宋" w:cs="Times New Roman"/>
          <w:b w:val="0"/>
          <w:bCs w:val="0"/>
          <w:color w:val="auto"/>
          <w:highlight w:val="none"/>
        </w:rPr>
        <w:t>出决算表</w:t>
      </w:r>
      <w:bookmarkEnd w:id="161"/>
      <w:bookmarkEnd w:id="162"/>
      <w:bookmarkEnd w:id="163"/>
      <w:bookmarkEnd w:id="164"/>
      <w:bookmarkEnd w:id="165"/>
      <w:bookmarkEnd w:id="166"/>
    </w:p>
    <w:p>
      <w:pPr>
        <w:pStyle w:val="3"/>
        <w:rPr>
          <w:rFonts w:hint="default" w:ascii="Times New Roman" w:hAnsi="Times New Roman" w:eastAsia="仿宋" w:cs="Times New Roman"/>
          <w:b w:val="0"/>
          <w:color w:val="auto"/>
          <w:highlight w:val="none"/>
        </w:rPr>
      </w:pPr>
      <w:bookmarkStart w:id="167" w:name="_Toc70839370"/>
      <w:bookmarkStart w:id="168" w:name="_Toc15396622"/>
      <w:bookmarkStart w:id="169" w:name="_Toc15462"/>
      <w:bookmarkStart w:id="170" w:name="_Toc10398"/>
      <w:bookmarkStart w:id="171" w:name="_Toc8307"/>
      <w:bookmarkStart w:id="172" w:name="_Toc15930"/>
      <w:r>
        <w:rPr>
          <w:rStyle w:val="27"/>
          <w:rFonts w:hint="default" w:ascii="Times New Roman" w:hAnsi="Times New Roman" w:eastAsia="仿宋" w:cs="Times New Roman"/>
          <w:b w:val="0"/>
          <w:bCs w:val="0"/>
          <w:color w:val="auto"/>
          <w:highlight w:val="none"/>
        </w:rPr>
        <w:t>四、</w:t>
      </w:r>
      <w:r>
        <w:rPr>
          <w:rFonts w:hint="default" w:ascii="Times New Roman" w:hAnsi="Times New Roman" w:eastAsia="仿宋" w:cs="Times New Roman"/>
          <w:b w:val="0"/>
          <w:color w:val="auto"/>
          <w:highlight w:val="none"/>
        </w:rPr>
        <w:t>财</w:t>
      </w:r>
      <w:r>
        <w:rPr>
          <w:rStyle w:val="27"/>
          <w:rFonts w:hint="default" w:ascii="Times New Roman" w:hAnsi="Times New Roman" w:eastAsia="仿宋" w:cs="Times New Roman"/>
          <w:b w:val="0"/>
          <w:bCs w:val="0"/>
          <w:color w:val="auto"/>
          <w:highlight w:val="none"/>
        </w:rPr>
        <w:t>政拨款收入支出决算总表</w:t>
      </w:r>
      <w:bookmarkEnd w:id="167"/>
      <w:bookmarkEnd w:id="168"/>
      <w:bookmarkEnd w:id="169"/>
      <w:bookmarkEnd w:id="170"/>
      <w:bookmarkEnd w:id="171"/>
      <w:bookmarkEnd w:id="172"/>
    </w:p>
    <w:p>
      <w:pPr>
        <w:pStyle w:val="3"/>
        <w:rPr>
          <w:rStyle w:val="27"/>
          <w:rFonts w:hint="default" w:ascii="Times New Roman" w:hAnsi="Times New Roman" w:eastAsia="仿宋" w:cs="Times New Roman"/>
          <w:b w:val="0"/>
          <w:bCs w:val="0"/>
          <w:color w:val="auto"/>
          <w:highlight w:val="none"/>
        </w:rPr>
      </w:pPr>
      <w:bookmarkStart w:id="173" w:name="_Toc1081891879"/>
      <w:bookmarkStart w:id="174" w:name="_Toc15396623"/>
      <w:bookmarkStart w:id="175" w:name="_Toc6610"/>
      <w:bookmarkStart w:id="176" w:name="_Toc14716"/>
      <w:bookmarkStart w:id="177" w:name="_Toc13706"/>
      <w:bookmarkStart w:id="178" w:name="_Toc20071"/>
      <w:r>
        <w:rPr>
          <w:rStyle w:val="27"/>
          <w:rFonts w:hint="default" w:ascii="Times New Roman" w:hAnsi="Times New Roman" w:eastAsia="仿宋" w:cs="Times New Roman"/>
          <w:b w:val="0"/>
          <w:bCs w:val="0"/>
          <w:color w:val="auto"/>
          <w:highlight w:val="none"/>
        </w:rPr>
        <w:t>五、</w:t>
      </w:r>
      <w:r>
        <w:rPr>
          <w:rFonts w:hint="default" w:ascii="Times New Roman" w:hAnsi="Times New Roman" w:eastAsia="仿宋" w:cs="Times New Roman"/>
          <w:b w:val="0"/>
          <w:color w:val="auto"/>
          <w:highlight w:val="none"/>
        </w:rPr>
        <w:t>财</w:t>
      </w:r>
      <w:r>
        <w:rPr>
          <w:rStyle w:val="27"/>
          <w:rFonts w:hint="default" w:ascii="Times New Roman" w:hAnsi="Times New Roman" w:eastAsia="仿宋" w:cs="Times New Roman"/>
          <w:b w:val="0"/>
          <w:bCs w:val="0"/>
          <w:color w:val="auto"/>
          <w:highlight w:val="none"/>
        </w:rPr>
        <w:t>政拨款支出决算明细表</w:t>
      </w:r>
      <w:bookmarkEnd w:id="173"/>
      <w:bookmarkEnd w:id="174"/>
      <w:bookmarkEnd w:id="175"/>
      <w:bookmarkEnd w:id="176"/>
      <w:bookmarkEnd w:id="177"/>
      <w:bookmarkEnd w:id="178"/>
      <w:bookmarkStart w:id="179" w:name="_Toc15396624"/>
    </w:p>
    <w:p>
      <w:pPr>
        <w:pStyle w:val="3"/>
        <w:rPr>
          <w:rFonts w:hint="default" w:ascii="Times New Roman" w:hAnsi="Times New Roman" w:eastAsia="仿宋" w:cs="Times New Roman"/>
          <w:color w:val="auto"/>
          <w:highlight w:val="none"/>
        </w:rPr>
      </w:pPr>
      <w:bookmarkStart w:id="180" w:name="_Toc1989199869"/>
      <w:bookmarkStart w:id="181" w:name="_Toc11026"/>
      <w:bookmarkStart w:id="182" w:name="_Toc23040"/>
      <w:bookmarkStart w:id="183" w:name="_Toc12750"/>
      <w:bookmarkStart w:id="184" w:name="_Toc32024"/>
      <w:r>
        <w:rPr>
          <w:rStyle w:val="27"/>
          <w:rFonts w:hint="default" w:ascii="Times New Roman" w:hAnsi="Times New Roman" w:eastAsia="仿宋" w:cs="Times New Roman"/>
          <w:b w:val="0"/>
          <w:bCs w:val="0"/>
          <w:color w:val="auto"/>
          <w:highlight w:val="none"/>
        </w:rPr>
        <w:t>六、</w:t>
      </w:r>
      <w:r>
        <w:rPr>
          <w:rFonts w:hint="default" w:ascii="Times New Roman" w:hAnsi="Times New Roman" w:eastAsia="仿宋" w:cs="Times New Roman"/>
          <w:b w:val="0"/>
          <w:color w:val="auto"/>
          <w:highlight w:val="none"/>
        </w:rPr>
        <w:t>一</w:t>
      </w:r>
      <w:r>
        <w:rPr>
          <w:rStyle w:val="27"/>
          <w:rFonts w:hint="default" w:ascii="Times New Roman" w:hAnsi="Times New Roman" w:eastAsia="仿宋" w:cs="Times New Roman"/>
          <w:b w:val="0"/>
          <w:bCs w:val="0"/>
          <w:color w:val="auto"/>
          <w:highlight w:val="none"/>
        </w:rPr>
        <w:t>般公共预算财政拨款支出决算表</w:t>
      </w:r>
      <w:bookmarkEnd w:id="179"/>
      <w:bookmarkEnd w:id="180"/>
      <w:bookmarkEnd w:id="181"/>
      <w:bookmarkEnd w:id="182"/>
      <w:bookmarkEnd w:id="183"/>
      <w:bookmarkEnd w:id="184"/>
    </w:p>
    <w:p>
      <w:pPr>
        <w:pStyle w:val="3"/>
        <w:rPr>
          <w:rFonts w:hint="default" w:ascii="Times New Roman" w:hAnsi="Times New Roman" w:eastAsia="仿宋" w:cs="Times New Roman"/>
          <w:color w:val="auto"/>
          <w:highlight w:val="none"/>
        </w:rPr>
      </w:pPr>
      <w:bookmarkStart w:id="185" w:name="_Toc1045583567"/>
      <w:bookmarkStart w:id="186" w:name="_Toc15396625"/>
      <w:bookmarkStart w:id="187" w:name="_Toc2744"/>
      <w:bookmarkStart w:id="188" w:name="_Toc9097"/>
      <w:bookmarkStart w:id="189" w:name="_Toc21591"/>
      <w:bookmarkStart w:id="190" w:name="_Toc11147"/>
      <w:r>
        <w:rPr>
          <w:rStyle w:val="27"/>
          <w:rFonts w:hint="default" w:ascii="Times New Roman" w:hAnsi="Times New Roman" w:eastAsia="仿宋" w:cs="Times New Roman"/>
          <w:b w:val="0"/>
          <w:bCs w:val="0"/>
          <w:color w:val="auto"/>
          <w:highlight w:val="none"/>
        </w:rPr>
        <w:t>七、</w:t>
      </w:r>
      <w:r>
        <w:rPr>
          <w:rFonts w:hint="default" w:ascii="Times New Roman" w:hAnsi="Times New Roman" w:eastAsia="仿宋" w:cs="Times New Roman"/>
          <w:b w:val="0"/>
          <w:color w:val="auto"/>
          <w:highlight w:val="none"/>
        </w:rPr>
        <w:t>一</w:t>
      </w:r>
      <w:r>
        <w:rPr>
          <w:rStyle w:val="27"/>
          <w:rFonts w:hint="default" w:ascii="Times New Roman" w:hAnsi="Times New Roman" w:eastAsia="仿宋" w:cs="Times New Roman"/>
          <w:b w:val="0"/>
          <w:bCs w:val="0"/>
          <w:color w:val="auto"/>
          <w:highlight w:val="none"/>
        </w:rPr>
        <w:t>般公共预算财政拨款支出决算明细表</w:t>
      </w:r>
      <w:bookmarkEnd w:id="185"/>
      <w:bookmarkEnd w:id="186"/>
      <w:bookmarkEnd w:id="187"/>
      <w:bookmarkEnd w:id="188"/>
      <w:bookmarkEnd w:id="189"/>
      <w:bookmarkEnd w:id="190"/>
    </w:p>
    <w:p>
      <w:pPr>
        <w:pStyle w:val="3"/>
        <w:rPr>
          <w:rFonts w:hint="default" w:ascii="Times New Roman" w:hAnsi="Times New Roman" w:eastAsia="仿宋" w:cs="Times New Roman"/>
          <w:color w:val="auto"/>
          <w:highlight w:val="none"/>
        </w:rPr>
      </w:pPr>
      <w:bookmarkStart w:id="191" w:name="_Toc587521124"/>
      <w:bookmarkStart w:id="192" w:name="_Toc15396626"/>
      <w:bookmarkStart w:id="193" w:name="_Toc16836"/>
      <w:bookmarkStart w:id="194" w:name="_Toc6240"/>
      <w:bookmarkStart w:id="195" w:name="_Toc2291"/>
      <w:bookmarkStart w:id="196" w:name="_Toc10253"/>
      <w:r>
        <w:rPr>
          <w:rStyle w:val="27"/>
          <w:rFonts w:hint="default" w:ascii="Times New Roman" w:hAnsi="Times New Roman" w:eastAsia="仿宋" w:cs="Times New Roman"/>
          <w:b w:val="0"/>
          <w:bCs w:val="0"/>
          <w:color w:val="auto"/>
          <w:highlight w:val="none"/>
        </w:rPr>
        <w:t>八、</w:t>
      </w:r>
      <w:r>
        <w:rPr>
          <w:rFonts w:hint="default" w:ascii="Times New Roman" w:hAnsi="Times New Roman" w:eastAsia="仿宋" w:cs="Times New Roman"/>
          <w:b w:val="0"/>
          <w:color w:val="auto"/>
          <w:highlight w:val="none"/>
        </w:rPr>
        <w:t>一</w:t>
      </w:r>
      <w:r>
        <w:rPr>
          <w:rStyle w:val="27"/>
          <w:rFonts w:hint="default" w:ascii="Times New Roman" w:hAnsi="Times New Roman" w:eastAsia="仿宋" w:cs="Times New Roman"/>
          <w:b w:val="0"/>
          <w:bCs w:val="0"/>
          <w:color w:val="auto"/>
          <w:highlight w:val="none"/>
        </w:rPr>
        <w:t>般公共预算财政拨款基本支出决算表</w:t>
      </w:r>
      <w:bookmarkEnd w:id="191"/>
      <w:bookmarkEnd w:id="192"/>
      <w:bookmarkEnd w:id="193"/>
      <w:bookmarkEnd w:id="194"/>
      <w:bookmarkEnd w:id="195"/>
      <w:bookmarkEnd w:id="196"/>
    </w:p>
    <w:p>
      <w:pPr>
        <w:pStyle w:val="3"/>
        <w:rPr>
          <w:rFonts w:hint="default" w:ascii="Times New Roman" w:hAnsi="Times New Roman" w:eastAsia="仿宋" w:cs="Times New Roman"/>
          <w:color w:val="auto"/>
          <w:highlight w:val="none"/>
        </w:rPr>
      </w:pPr>
      <w:bookmarkStart w:id="197" w:name="_Toc15396627"/>
      <w:bookmarkStart w:id="198" w:name="_Toc1049968431"/>
      <w:bookmarkStart w:id="199" w:name="_Toc10777"/>
      <w:bookmarkStart w:id="200" w:name="_Toc3448"/>
      <w:bookmarkStart w:id="201" w:name="_Toc12263"/>
      <w:bookmarkStart w:id="202" w:name="_Toc13480"/>
      <w:r>
        <w:rPr>
          <w:rStyle w:val="27"/>
          <w:rFonts w:hint="default" w:ascii="Times New Roman" w:hAnsi="Times New Roman" w:eastAsia="仿宋" w:cs="Times New Roman"/>
          <w:b w:val="0"/>
          <w:bCs w:val="0"/>
          <w:color w:val="auto"/>
          <w:highlight w:val="none"/>
        </w:rPr>
        <w:t>九、</w:t>
      </w:r>
      <w:r>
        <w:rPr>
          <w:rFonts w:hint="default" w:ascii="Times New Roman" w:hAnsi="Times New Roman" w:eastAsia="仿宋" w:cs="Times New Roman"/>
          <w:b w:val="0"/>
          <w:color w:val="auto"/>
          <w:highlight w:val="none"/>
        </w:rPr>
        <w:t>一</w:t>
      </w:r>
      <w:r>
        <w:rPr>
          <w:rStyle w:val="27"/>
          <w:rFonts w:hint="default" w:ascii="Times New Roman" w:hAnsi="Times New Roman" w:eastAsia="仿宋" w:cs="Times New Roman"/>
          <w:b w:val="0"/>
          <w:bCs w:val="0"/>
          <w:color w:val="auto"/>
          <w:highlight w:val="none"/>
        </w:rPr>
        <w:t>般公共预算财政拨款项目支出决算表</w:t>
      </w:r>
      <w:bookmarkEnd w:id="197"/>
      <w:bookmarkEnd w:id="198"/>
      <w:bookmarkEnd w:id="199"/>
      <w:bookmarkEnd w:id="200"/>
      <w:bookmarkEnd w:id="201"/>
      <w:bookmarkEnd w:id="202"/>
    </w:p>
    <w:p>
      <w:pPr>
        <w:pStyle w:val="3"/>
        <w:rPr>
          <w:rFonts w:hint="default" w:ascii="Times New Roman" w:hAnsi="Times New Roman" w:eastAsia="仿宋" w:cs="Times New Roman"/>
          <w:color w:val="auto"/>
          <w:highlight w:val="none"/>
        </w:rPr>
      </w:pPr>
      <w:bookmarkStart w:id="203" w:name="_Toc384490029"/>
      <w:bookmarkStart w:id="204" w:name="_Toc15396628"/>
      <w:bookmarkStart w:id="205" w:name="_Toc23135"/>
      <w:bookmarkStart w:id="206" w:name="_Toc7051"/>
      <w:bookmarkStart w:id="207" w:name="_Toc24672"/>
      <w:bookmarkStart w:id="208" w:name="_Toc31591"/>
      <w:r>
        <w:rPr>
          <w:rStyle w:val="27"/>
          <w:rFonts w:hint="default" w:ascii="Times New Roman" w:hAnsi="Times New Roman" w:eastAsia="仿宋" w:cs="Times New Roman"/>
          <w:b w:val="0"/>
          <w:bCs w:val="0"/>
          <w:color w:val="auto"/>
          <w:highlight w:val="none"/>
        </w:rPr>
        <w:t>十、</w:t>
      </w:r>
      <w:r>
        <w:rPr>
          <w:rFonts w:hint="default" w:ascii="Times New Roman" w:hAnsi="Times New Roman" w:eastAsia="仿宋" w:cs="Times New Roman"/>
          <w:b w:val="0"/>
          <w:color w:val="auto"/>
          <w:highlight w:val="none"/>
        </w:rPr>
        <w:t>一</w:t>
      </w:r>
      <w:r>
        <w:rPr>
          <w:rStyle w:val="27"/>
          <w:rFonts w:hint="default" w:ascii="Times New Roman" w:hAnsi="Times New Roman" w:eastAsia="仿宋" w:cs="Times New Roman"/>
          <w:b w:val="0"/>
          <w:bCs w:val="0"/>
          <w:color w:val="auto"/>
          <w:highlight w:val="none"/>
        </w:rPr>
        <w:t>般公共预算财政拨款“三公”经费支出决算表</w:t>
      </w:r>
      <w:bookmarkEnd w:id="203"/>
      <w:bookmarkEnd w:id="204"/>
      <w:bookmarkEnd w:id="205"/>
      <w:bookmarkEnd w:id="206"/>
      <w:bookmarkEnd w:id="207"/>
      <w:bookmarkEnd w:id="208"/>
    </w:p>
    <w:p>
      <w:pPr>
        <w:pStyle w:val="3"/>
        <w:rPr>
          <w:rFonts w:hint="default" w:ascii="Times New Roman" w:hAnsi="Times New Roman" w:eastAsia="仿宋" w:cs="Times New Roman"/>
          <w:color w:val="auto"/>
          <w:highlight w:val="none"/>
        </w:rPr>
      </w:pPr>
      <w:bookmarkStart w:id="209" w:name="_Toc2103171247"/>
      <w:bookmarkStart w:id="210" w:name="_Toc15396629"/>
      <w:bookmarkStart w:id="211" w:name="_Toc6315"/>
      <w:bookmarkStart w:id="212" w:name="_Toc12464"/>
      <w:bookmarkStart w:id="213" w:name="_Toc17384"/>
      <w:bookmarkStart w:id="214" w:name="_Toc18601"/>
      <w:r>
        <w:rPr>
          <w:rStyle w:val="27"/>
          <w:rFonts w:hint="default" w:ascii="Times New Roman" w:hAnsi="Times New Roman" w:eastAsia="仿宋" w:cs="Times New Roman"/>
          <w:b w:val="0"/>
          <w:bCs w:val="0"/>
          <w:color w:val="auto"/>
          <w:highlight w:val="none"/>
        </w:rPr>
        <w:t>十一、</w:t>
      </w:r>
      <w:r>
        <w:rPr>
          <w:rFonts w:hint="default" w:ascii="Times New Roman" w:hAnsi="Times New Roman" w:eastAsia="仿宋" w:cs="Times New Roman"/>
          <w:b w:val="0"/>
          <w:color w:val="auto"/>
          <w:highlight w:val="none"/>
        </w:rPr>
        <w:t>政</w:t>
      </w:r>
      <w:r>
        <w:rPr>
          <w:rStyle w:val="27"/>
          <w:rFonts w:hint="default" w:ascii="Times New Roman" w:hAnsi="Times New Roman" w:eastAsia="仿宋" w:cs="Times New Roman"/>
          <w:b w:val="0"/>
          <w:bCs w:val="0"/>
          <w:color w:val="auto"/>
          <w:highlight w:val="none"/>
        </w:rPr>
        <w:t>府性基金预算财政拨款收入支出决算表</w:t>
      </w:r>
      <w:bookmarkEnd w:id="209"/>
      <w:bookmarkEnd w:id="210"/>
      <w:bookmarkEnd w:id="211"/>
      <w:bookmarkEnd w:id="212"/>
      <w:bookmarkEnd w:id="213"/>
      <w:bookmarkEnd w:id="214"/>
    </w:p>
    <w:p>
      <w:pPr>
        <w:pStyle w:val="3"/>
        <w:rPr>
          <w:rFonts w:hint="default" w:ascii="Times New Roman" w:hAnsi="Times New Roman" w:eastAsia="仿宋" w:cs="Times New Roman"/>
          <w:color w:val="auto"/>
          <w:highlight w:val="none"/>
        </w:rPr>
      </w:pPr>
      <w:bookmarkStart w:id="215" w:name="_Toc15396630"/>
      <w:bookmarkStart w:id="216" w:name="_Toc1373897022"/>
      <w:bookmarkStart w:id="217" w:name="_Toc3998"/>
      <w:bookmarkStart w:id="218" w:name="_Toc23764"/>
      <w:bookmarkStart w:id="219" w:name="_Toc19367"/>
      <w:bookmarkStart w:id="220" w:name="_Toc1747"/>
      <w:r>
        <w:rPr>
          <w:rStyle w:val="27"/>
          <w:rFonts w:hint="default" w:ascii="Times New Roman" w:hAnsi="Times New Roman" w:eastAsia="仿宋" w:cs="Times New Roman"/>
          <w:b w:val="0"/>
          <w:bCs w:val="0"/>
          <w:color w:val="auto"/>
          <w:highlight w:val="none"/>
        </w:rPr>
        <w:t>十二、</w:t>
      </w:r>
      <w:r>
        <w:rPr>
          <w:rFonts w:hint="default" w:ascii="Times New Roman" w:hAnsi="Times New Roman" w:eastAsia="仿宋" w:cs="Times New Roman"/>
          <w:b w:val="0"/>
          <w:color w:val="auto"/>
          <w:highlight w:val="none"/>
        </w:rPr>
        <w:t>政</w:t>
      </w:r>
      <w:r>
        <w:rPr>
          <w:rStyle w:val="27"/>
          <w:rFonts w:hint="default" w:ascii="Times New Roman" w:hAnsi="Times New Roman" w:eastAsia="仿宋" w:cs="Times New Roman"/>
          <w:b w:val="0"/>
          <w:bCs w:val="0"/>
          <w:color w:val="auto"/>
          <w:highlight w:val="none"/>
        </w:rPr>
        <w:t>府性基金预算财政拨款“三公”经费支出决算表</w:t>
      </w:r>
      <w:bookmarkEnd w:id="215"/>
      <w:bookmarkEnd w:id="216"/>
      <w:bookmarkEnd w:id="217"/>
      <w:bookmarkEnd w:id="218"/>
      <w:bookmarkEnd w:id="219"/>
      <w:bookmarkEnd w:id="220"/>
    </w:p>
    <w:p>
      <w:pPr>
        <w:pStyle w:val="3"/>
        <w:rPr>
          <w:rStyle w:val="27"/>
          <w:rFonts w:hint="default" w:ascii="Times New Roman" w:hAnsi="Times New Roman" w:eastAsia="仿宋" w:cs="Times New Roman"/>
          <w:b w:val="0"/>
          <w:bCs w:val="0"/>
          <w:color w:val="auto"/>
          <w:highlight w:val="none"/>
        </w:rPr>
      </w:pPr>
      <w:bookmarkStart w:id="221" w:name="_Toc899647348"/>
      <w:bookmarkStart w:id="222" w:name="_Toc15396631"/>
      <w:bookmarkStart w:id="223" w:name="_Toc30642"/>
      <w:bookmarkStart w:id="224" w:name="_Toc22685"/>
      <w:bookmarkStart w:id="225" w:name="_Toc10706"/>
      <w:bookmarkStart w:id="226" w:name="_Toc31539"/>
      <w:r>
        <w:rPr>
          <w:rStyle w:val="27"/>
          <w:rFonts w:hint="default" w:ascii="Times New Roman" w:hAnsi="Times New Roman" w:eastAsia="仿宋" w:cs="Times New Roman"/>
          <w:b w:val="0"/>
          <w:bCs w:val="0"/>
          <w:color w:val="auto"/>
          <w:highlight w:val="none"/>
        </w:rPr>
        <w:t>十三、</w:t>
      </w:r>
      <w:r>
        <w:rPr>
          <w:rFonts w:hint="default" w:ascii="Times New Roman" w:hAnsi="Times New Roman" w:eastAsia="仿宋" w:cs="Times New Roman"/>
          <w:b w:val="0"/>
          <w:color w:val="auto"/>
          <w:highlight w:val="none"/>
        </w:rPr>
        <w:t>国</w:t>
      </w:r>
      <w:r>
        <w:rPr>
          <w:rStyle w:val="27"/>
          <w:rFonts w:hint="default" w:ascii="Times New Roman" w:hAnsi="Times New Roman" w:eastAsia="仿宋" w:cs="Times New Roman"/>
          <w:b w:val="0"/>
          <w:bCs w:val="0"/>
          <w:color w:val="auto"/>
          <w:highlight w:val="none"/>
        </w:rPr>
        <w:t>有资本经营预算</w:t>
      </w:r>
      <w:r>
        <w:rPr>
          <w:rStyle w:val="27"/>
          <w:rFonts w:hint="default" w:ascii="Times New Roman" w:hAnsi="Times New Roman" w:eastAsia="仿宋" w:cs="Times New Roman"/>
          <w:b w:val="0"/>
          <w:bCs w:val="0"/>
          <w:color w:val="auto"/>
          <w:highlight w:val="none"/>
          <w:lang w:eastAsia="zh-CN"/>
        </w:rPr>
        <w:t>财政拨款收入</w:t>
      </w:r>
      <w:r>
        <w:rPr>
          <w:rStyle w:val="27"/>
          <w:rFonts w:hint="default" w:ascii="Times New Roman" w:hAnsi="Times New Roman" w:eastAsia="仿宋" w:cs="Times New Roman"/>
          <w:b w:val="0"/>
          <w:bCs w:val="0"/>
          <w:color w:val="auto"/>
          <w:highlight w:val="none"/>
        </w:rPr>
        <w:t>支出决算表</w:t>
      </w:r>
      <w:bookmarkEnd w:id="221"/>
      <w:bookmarkEnd w:id="222"/>
      <w:bookmarkEnd w:id="223"/>
      <w:bookmarkEnd w:id="224"/>
      <w:bookmarkEnd w:id="225"/>
      <w:bookmarkEnd w:id="226"/>
    </w:p>
    <w:p>
      <w:pPr>
        <w:rPr>
          <w:rFonts w:hint="default" w:ascii="Times New Roman" w:hAnsi="Times New Roman" w:eastAsia="仿宋" w:cs="Times New Roman"/>
          <w:b w:val="0"/>
          <w:bCs w:val="0"/>
          <w:color w:val="000000"/>
        </w:rPr>
      </w:pPr>
      <w:bookmarkStart w:id="227" w:name="_Toc518539215"/>
      <w:bookmarkStart w:id="228" w:name="_Toc29020"/>
      <w:bookmarkStart w:id="229" w:name="_Toc23509"/>
      <w:bookmarkStart w:id="230" w:name="_Toc18891"/>
      <w:bookmarkStart w:id="231" w:name="_Toc28519"/>
      <w:r>
        <w:rPr>
          <w:rStyle w:val="27"/>
          <w:rFonts w:hint="default" w:ascii="Times New Roman" w:hAnsi="Times New Roman" w:eastAsia="仿宋" w:cs="Times New Roman"/>
          <w:b w:val="0"/>
          <w:bCs w:val="0"/>
          <w:color w:val="auto"/>
          <w:highlight w:val="none"/>
          <w:lang w:eastAsia="zh-CN"/>
        </w:rPr>
        <w:t>十四、国有资本经营预算财政拨款支出决算表</w:t>
      </w:r>
      <w:bookmarkEnd w:id="227"/>
      <w:bookmarkEnd w:id="228"/>
      <w:bookmarkEnd w:id="229"/>
      <w:bookmarkEnd w:id="230"/>
      <w:bookmarkEnd w:id="231"/>
    </w:p>
    <w:sectPr>
      <w:footerReference r:id="rId3" w:type="default"/>
      <w:pgSz w:w="11906" w:h="16838"/>
      <w:pgMar w:top="1871" w:right="1588" w:bottom="1871" w:left="1588" w:header="851" w:footer="1531"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w:pict>
        <v:shape id="_x0000_s2052" o:spid="_x0000_s2052"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  \* MERGEFORMAT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- 1 -</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lang w:eastAsia="zh-CN"/>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gzN2Q1ZmE4Y2Q5Zjc0MDNkNmRkMmJjMWJmNzA2MDkifQ=="/>
  </w:docVars>
  <w:rsids>
    <w:rsidRoot w:val="6504078C"/>
    <w:rsid w:val="00000625"/>
    <w:rsid w:val="00016EEF"/>
    <w:rsid w:val="00026746"/>
    <w:rsid w:val="00061C62"/>
    <w:rsid w:val="00087AD5"/>
    <w:rsid w:val="000A61DB"/>
    <w:rsid w:val="000B1704"/>
    <w:rsid w:val="000B2F2D"/>
    <w:rsid w:val="000B31BE"/>
    <w:rsid w:val="000C64D5"/>
    <w:rsid w:val="00106AB5"/>
    <w:rsid w:val="00175253"/>
    <w:rsid w:val="001939A5"/>
    <w:rsid w:val="001C579C"/>
    <w:rsid w:val="001C58D5"/>
    <w:rsid w:val="001F07F3"/>
    <w:rsid w:val="002049F5"/>
    <w:rsid w:val="002057D2"/>
    <w:rsid w:val="00246F3F"/>
    <w:rsid w:val="0025280C"/>
    <w:rsid w:val="00261FFE"/>
    <w:rsid w:val="00264A69"/>
    <w:rsid w:val="002967B8"/>
    <w:rsid w:val="002C31CC"/>
    <w:rsid w:val="002C6340"/>
    <w:rsid w:val="002C6E05"/>
    <w:rsid w:val="002D3D9E"/>
    <w:rsid w:val="002F448B"/>
    <w:rsid w:val="002F7F52"/>
    <w:rsid w:val="00311430"/>
    <w:rsid w:val="00326E64"/>
    <w:rsid w:val="0036421E"/>
    <w:rsid w:val="00393BBF"/>
    <w:rsid w:val="00396123"/>
    <w:rsid w:val="003A36AF"/>
    <w:rsid w:val="003B09A8"/>
    <w:rsid w:val="003C15EA"/>
    <w:rsid w:val="003C338B"/>
    <w:rsid w:val="004174C5"/>
    <w:rsid w:val="00441FDE"/>
    <w:rsid w:val="00453272"/>
    <w:rsid w:val="004A6DCE"/>
    <w:rsid w:val="004B0ED6"/>
    <w:rsid w:val="004C20F1"/>
    <w:rsid w:val="004D03B6"/>
    <w:rsid w:val="005247D3"/>
    <w:rsid w:val="0054596E"/>
    <w:rsid w:val="0057085F"/>
    <w:rsid w:val="0059318C"/>
    <w:rsid w:val="005A2999"/>
    <w:rsid w:val="005B188E"/>
    <w:rsid w:val="005C778B"/>
    <w:rsid w:val="005D3853"/>
    <w:rsid w:val="005E69E3"/>
    <w:rsid w:val="0061798D"/>
    <w:rsid w:val="00636977"/>
    <w:rsid w:val="006757AA"/>
    <w:rsid w:val="006B004A"/>
    <w:rsid w:val="006C450F"/>
    <w:rsid w:val="006D57BD"/>
    <w:rsid w:val="006E6AE6"/>
    <w:rsid w:val="006F29D3"/>
    <w:rsid w:val="006F2DA4"/>
    <w:rsid w:val="006F6FE3"/>
    <w:rsid w:val="0071544D"/>
    <w:rsid w:val="00752B61"/>
    <w:rsid w:val="0078761E"/>
    <w:rsid w:val="007966D6"/>
    <w:rsid w:val="00805862"/>
    <w:rsid w:val="008245C1"/>
    <w:rsid w:val="0085692C"/>
    <w:rsid w:val="00872A56"/>
    <w:rsid w:val="00883778"/>
    <w:rsid w:val="008A6A00"/>
    <w:rsid w:val="008B04C0"/>
    <w:rsid w:val="008B5E47"/>
    <w:rsid w:val="008D7BB5"/>
    <w:rsid w:val="008F2203"/>
    <w:rsid w:val="00931CEE"/>
    <w:rsid w:val="00995CA1"/>
    <w:rsid w:val="009B054C"/>
    <w:rsid w:val="009E0CDD"/>
    <w:rsid w:val="009F1D31"/>
    <w:rsid w:val="00A41862"/>
    <w:rsid w:val="00A43A45"/>
    <w:rsid w:val="00A6313D"/>
    <w:rsid w:val="00A84335"/>
    <w:rsid w:val="00A85051"/>
    <w:rsid w:val="00AB2154"/>
    <w:rsid w:val="00AD0832"/>
    <w:rsid w:val="00AD0C84"/>
    <w:rsid w:val="00AD5EAD"/>
    <w:rsid w:val="00AF7D66"/>
    <w:rsid w:val="00B267AC"/>
    <w:rsid w:val="00B3017C"/>
    <w:rsid w:val="00B637B5"/>
    <w:rsid w:val="00B70CB5"/>
    <w:rsid w:val="00BA153E"/>
    <w:rsid w:val="00BE4E14"/>
    <w:rsid w:val="00C02021"/>
    <w:rsid w:val="00C11D79"/>
    <w:rsid w:val="00C32E5A"/>
    <w:rsid w:val="00C33BBE"/>
    <w:rsid w:val="00C57114"/>
    <w:rsid w:val="00C6745F"/>
    <w:rsid w:val="00C75960"/>
    <w:rsid w:val="00C76FE8"/>
    <w:rsid w:val="00C97375"/>
    <w:rsid w:val="00C9738A"/>
    <w:rsid w:val="00CA4717"/>
    <w:rsid w:val="00CC12A1"/>
    <w:rsid w:val="00CD40CB"/>
    <w:rsid w:val="00CD76D5"/>
    <w:rsid w:val="00D3100F"/>
    <w:rsid w:val="00D34EE7"/>
    <w:rsid w:val="00D43384"/>
    <w:rsid w:val="00D655C5"/>
    <w:rsid w:val="00DC74CD"/>
    <w:rsid w:val="00DC7A13"/>
    <w:rsid w:val="00DF2AB2"/>
    <w:rsid w:val="00E4763C"/>
    <w:rsid w:val="00E51596"/>
    <w:rsid w:val="00E54F8E"/>
    <w:rsid w:val="00E838D9"/>
    <w:rsid w:val="00E9452D"/>
    <w:rsid w:val="00EB57A0"/>
    <w:rsid w:val="00ED3358"/>
    <w:rsid w:val="00ED37A3"/>
    <w:rsid w:val="00EE4A6E"/>
    <w:rsid w:val="00EE5FFF"/>
    <w:rsid w:val="00EE6F32"/>
    <w:rsid w:val="00EF6E1B"/>
    <w:rsid w:val="00F071B9"/>
    <w:rsid w:val="00F307E7"/>
    <w:rsid w:val="00F354DF"/>
    <w:rsid w:val="00F761A8"/>
    <w:rsid w:val="00F85DC7"/>
    <w:rsid w:val="00FA689E"/>
    <w:rsid w:val="00FB5EAA"/>
    <w:rsid w:val="00FC3535"/>
    <w:rsid w:val="00FC7E99"/>
    <w:rsid w:val="01714809"/>
    <w:rsid w:val="022967BC"/>
    <w:rsid w:val="023B5205"/>
    <w:rsid w:val="02FD22F4"/>
    <w:rsid w:val="0471344D"/>
    <w:rsid w:val="04BD4960"/>
    <w:rsid w:val="060E68C4"/>
    <w:rsid w:val="064705A7"/>
    <w:rsid w:val="06A856B6"/>
    <w:rsid w:val="06D96529"/>
    <w:rsid w:val="07470675"/>
    <w:rsid w:val="07C77907"/>
    <w:rsid w:val="09110990"/>
    <w:rsid w:val="09373DCB"/>
    <w:rsid w:val="09390D46"/>
    <w:rsid w:val="09911EB2"/>
    <w:rsid w:val="0A39654D"/>
    <w:rsid w:val="0B9E1974"/>
    <w:rsid w:val="0C776A4C"/>
    <w:rsid w:val="0CF90757"/>
    <w:rsid w:val="0DC965C8"/>
    <w:rsid w:val="0E131925"/>
    <w:rsid w:val="0E5A03D3"/>
    <w:rsid w:val="0EA004DC"/>
    <w:rsid w:val="0F760589"/>
    <w:rsid w:val="10AF39D7"/>
    <w:rsid w:val="119F34BD"/>
    <w:rsid w:val="11BC420E"/>
    <w:rsid w:val="12535865"/>
    <w:rsid w:val="12BF24EB"/>
    <w:rsid w:val="12FD00AD"/>
    <w:rsid w:val="13374AF8"/>
    <w:rsid w:val="140A4E04"/>
    <w:rsid w:val="15DF7763"/>
    <w:rsid w:val="17C65E6F"/>
    <w:rsid w:val="19006B63"/>
    <w:rsid w:val="193208CA"/>
    <w:rsid w:val="19952EAE"/>
    <w:rsid w:val="19BA14B7"/>
    <w:rsid w:val="1BCA169D"/>
    <w:rsid w:val="1BF33D0B"/>
    <w:rsid w:val="1C867F9F"/>
    <w:rsid w:val="1D620CD2"/>
    <w:rsid w:val="1DAD4074"/>
    <w:rsid w:val="1DE9494E"/>
    <w:rsid w:val="209C2837"/>
    <w:rsid w:val="21053F8D"/>
    <w:rsid w:val="2174620A"/>
    <w:rsid w:val="21D54439"/>
    <w:rsid w:val="248A2B86"/>
    <w:rsid w:val="24C3314F"/>
    <w:rsid w:val="258D2D5F"/>
    <w:rsid w:val="25BA587C"/>
    <w:rsid w:val="28AF333F"/>
    <w:rsid w:val="28F04E5E"/>
    <w:rsid w:val="2A893B51"/>
    <w:rsid w:val="2BD975DB"/>
    <w:rsid w:val="2CD61049"/>
    <w:rsid w:val="2CE1070A"/>
    <w:rsid w:val="2D067DAC"/>
    <w:rsid w:val="2D9030B4"/>
    <w:rsid w:val="2FE66B94"/>
    <w:rsid w:val="300761B5"/>
    <w:rsid w:val="30C11318"/>
    <w:rsid w:val="31AC0DC2"/>
    <w:rsid w:val="32117C26"/>
    <w:rsid w:val="32413B87"/>
    <w:rsid w:val="3295508C"/>
    <w:rsid w:val="33AA79C1"/>
    <w:rsid w:val="33FE29BB"/>
    <w:rsid w:val="35E5064F"/>
    <w:rsid w:val="36535271"/>
    <w:rsid w:val="36D97DE3"/>
    <w:rsid w:val="37C82440"/>
    <w:rsid w:val="38A267E1"/>
    <w:rsid w:val="38F60491"/>
    <w:rsid w:val="39F257E0"/>
    <w:rsid w:val="3BB205E9"/>
    <w:rsid w:val="3CF35250"/>
    <w:rsid w:val="3D56541D"/>
    <w:rsid w:val="3D5E04B7"/>
    <w:rsid w:val="3D653809"/>
    <w:rsid w:val="3E0E0DF7"/>
    <w:rsid w:val="3E4169FF"/>
    <w:rsid w:val="402A2AC0"/>
    <w:rsid w:val="42EC3F06"/>
    <w:rsid w:val="43164781"/>
    <w:rsid w:val="446654B1"/>
    <w:rsid w:val="497F59D9"/>
    <w:rsid w:val="499248EA"/>
    <w:rsid w:val="49B45433"/>
    <w:rsid w:val="4A3F6148"/>
    <w:rsid w:val="4AA279FE"/>
    <w:rsid w:val="4D355CB8"/>
    <w:rsid w:val="4D930C30"/>
    <w:rsid w:val="4DB76F14"/>
    <w:rsid w:val="4DF5550B"/>
    <w:rsid w:val="4EC7498B"/>
    <w:rsid w:val="509B4D1B"/>
    <w:rsid w:val="52CF0C27"/>
    <w:rsid w:val="52ED1051"/>
    <w:rsid w:val="53022E14"/>
    <w:rsid w:val="554F46F0"/>
    <w:rsid w:val="555616A5"/>
    <w:rsid w:val="560721BC"/>
    <w:rsid w:val="567346B7"/>
    <w:rsid w:val="56850569"/>
    <w:rsid w:val="59F515DA"/>
    <w:rsid w:val="5AE64197"/>
    <w:rsid w:val="5B013E88"/>
    <w:rsid w:val="5B0C6C99"/>
    <w:rsid w:val="5C8C5D8D"/>
    <w:rsid w:val="5D3E75DF"/>
    <w:rsid w:val="5D54276C"/>
    <w:rsid w:val="5E080D42"/>
    <w:rsid w:val="5E327D28"/>
    <w:rsid w:val="5E8A0D6D"/>
    <w:rsid w:val="5F830324"/>
    <w:rsid w:val="61563D8A"/>
    <w:rsid w:val="617D0ABA"/>
    <w:rsid w:val="621041A6"/>
    <w:rsid w:val="62B47CA8"/>
    <w:rsid w:val="639E5D10"/>
    <w:rsid w:val="644A1205"/>
    <w:rsid w:val="64C3025B"/>
    <w:rsid w:val="64E40DE8"/>
    <w:rsid w:val="6504078C"/>
    <w:rsid w:val="68324E76"/>
    <w:rsid w:val="68866130"/>
    <w:rsid w:val="68A26EAD"/>
    <w:rsid w:val="69D72179"/>
    <w:rsid w:val="6B377BD0"/>
    <w:rsid w:val="6C161F09"/>
    <w:rsid w:val="6E1C2A86"/>
    <w:rsid w:val="6E520F8B"/>
    <w:rsid w:val="6F954D5E"/>
    <w:rsid w:val="71427A09"/>
    <w:rsid w:val="726E3979"/>
    <w:rsid w:val="730404A5"/>
    <w:rsid w:val="73523E4D"/>
    <w:rsid w:val="74F83132"/>
    <w:rsid w:val="75520CDA"/>
    <w:rsid w:val="76361FD5"/>
    <w:rsid w:val="7745075A"/>
    <w:rsid w:val="776A72B9"/>
    <w:rsid w:val="77CB3B7D"/>
    <w:rsid w:val="79A41F45"/>
    <w:rsid w:val="79F3642F"/>
    <w:rsid w:val="7AB973D3"/>
    <w:rsid w:val="7C60616F"/>
    <w:rsid w:val="7C897727"/>
    <w:rsid w:val="7CD97B3F"/>
    <w:rsid w:val="7E694794"/>
    <w:rsid w:val="7E98225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qFormat="1" w:unhideWhenUsed="0" w:uiPriority="0" w:semiHidden="0"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26"/>
    <w:qFormat/>
    <w:uiPriority w:val="99"/>
    <w:pPr>
      <w:keepNext/>
      <w:keepLines/>
      <w:spacing w:before="340" w:after="330" w:line="578" w:lineRule="auto"/>
      <w:outlineLvl w:val="0"/>
    </w:pPr>
    <w:rPr>
      <w:rFonts w:ascii="Calibri" w:hAnsi="Calibri" w:eastAsia="宋体" w:cs="Calibri"/>
      <w:b/>
      <w:bCs/>
      <w:kern w:val="44"/>
      <w:sz w:val="44"/>
      <w:szCs w:val="44"/>
    </w:rPr>
  </w:style>
  <w:style w:type="paragraph" w:styleId="3">
    <w:name w:val="heading 2"/>
    <w:basedOn w:val="1"/>
    <w:next w:val="1"/>
    <w:link w:val="27"/>
    <w:qFormat/>
    <w:uiPriority w:val="99"/>
    <w:pPr>
      <w:keepNext/>
      <w:keepLines/>
      <w:spacing w:before="260" w:after="260" w:line="416" w:lineRule="auto"/>
      <w:outlineLvl w:val="1"/>
    </w:pPr>
    <w:rPr>
      <w:rFonts w:ascii="Cambria" w:hAnsi="Cambria" w:eastAsia="宋体" w:cs="Cambria"/>
      <w:b/>
      <w:bCs/>
      <w:kern w:val="0"/>
    </w:rPr>
  </w:style>
  <w:style w:type="character" w:default="1" w:styleId="14">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index 5"/>
    <w:basedOn w:val="1"/>
    <w:next w:val="1"/>
    <w:qFormat/>
    <w:locked/>
    <w:uiPriority w:val="0"/>
    <w:pPr>
      <w:ind w:left="1680"/>
    </w:pPr>
  </w:style>
  <w:style w:type="paragraph" w:styleId="5">
    <w:name w:val="Body Text"/>
    <w:basedOn w:val="1"/>
    <w:link w:val="21"/>
    <w:qFormat/>
    <w:uiPriority w:val="99"/>
    <w:pPr>
      <w:spacing w:beforeLines="30"/>
    </w:pPr>
    <w:rPr>
      <w:kern w:val="0"/>
    </w:rPr>
  </w:style>
  <w:style w:type="paragraph" w:styleId="6">
    <w:name w:val="Body Text Indent"/>
    <w:basedOn w:val="1"/>
    <w:qFormat/>
    <w:locked/>
    <w:uiPriority w:val="0"/>
    <w:pPr>
      <w:spacing w:line="560" w:lineRule="exact"/>
      <w:ind w:firstLine="640" w:firstLineChars="200"/>
    </w:pPr>
  </w:style>
  <w:style w:type="paragraph" w:styleId="7">
    <w:name w:val="footer"/>
    <w:basedOn w:val="1"/>
    <w:link w:val="22"/>
    <w:qFormat/>
    <w:uiPriority w:val="99"/>
    <w:pPr>
      <w:tabs>
        <w:tab w:val="center" w:pos="4153"/>
        <w:tab w:val="right" w:pos="8306"/>
      </w:tabs>
      <w:snapToGrid w:val="0"/>
      <w:jc w:val="left"/>
    </w:pPr>
    <w:rPr>
      <w:kern w:val="0"/>
      <w:sz w:val="18"/>
      <w:szCs w:val="18"/>
    </w:rPr>
  </w:style>
  <w:style w:type="paragraph" w:styleId="8">
    <w:name w:val="header"/>
    <w:basedOn w:val="1"/>
    <w:link w:val="23"/>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toc 1"/>
    <w:basedOn w:val="1"/>
    <w:next w:val="1"/>
    <w:semiHidden/>
    <w:qFormat/>
    <w:uiPriority w:val="99"/>
    <w:pPr>
      <w:tabs>
        <w:tab w:val="right" w:leader="dot" w:pos="8306"/>
      </w:tabs>
      <w:spacing w:before="120" w:line="520" w:lineRule="exact"/>
      <w:jc w:val="left"/>
    </w:pPr>
    <w:rPr>
      <w:rFonts w:ascii="仿宋_GB2312" w:hAnsi="仿宋_GB2312" w:cs="仿宋_GB2312"/>
      <w:sz w:val="28"/>
      <w:szCs w:val="28"/>
    </w:rPr>
  </w:style>
  <w:style w:type="paragraph" w:styleId="10">
    <w:name w:val="toc 2"/>
    <w:basedOn w:val="1"/>
    <w:next w:val="1"/>
    <w:semiHidden/>
    <w:qFormat/>
    <w:uiPriority w:val="99"/>
    <w:pPr>
      <w:spacing w:before="120"/>
      <w:ind w:left="300"/>
      <w:jc w:val="left"/>
    </w:pPr>
    <w:rPr>
      <w:rFonts w:ascii="等线" w:eastAsia="等线" w:cs="等线"/>
      <w:b/>
      <w:bCs/>
      <w:sz w:val="22"/>
      <w:szCs w:val="22"/>
    </w:rPr>
  </w:style>
  <w:style w:type="paragraph" w:styleId="11">
    <w:name w:val="Title"/>
    <w:basedOn w:val="1"/>
    <w:next w:val="1"/>
    <w:qFormat/>
    <w:uiPriority w:val="0"/>
    <w:pPr>
      <w:spacing w:before="240" w:after="60"/>
      <w:jc w:val="center"/>
      <w:outlineLvl w:val="0"/>
    </w:pPr>
    <w:rPr>
      <w:rFonts w:ascii="Arial" w:hAnsi="Arial" w:eastAsia="宋体" w:cs="Arial"/>
      <w:b/>
      <w:bCs/>
      <w:szCs w:val="32"/>
    </w:rPr>
  </w:style>
  <w:style w:type="paragraph" w:styleId="12">
    <w:name w:val="Body Text First Indent 2"/>
    <w:basedOn w:val="6"/>
    <w:next w:val="4"/>
    <w:qFormat/>
    <w:locked/>
    <w:uiPriority w:val="0"/>
    <w:pPr>
      <w:spacing w:after="120" w:line="240" w:lineRule="auto"/>
      <w:ind w:left="420" w:leftChars="200" w:firstLine="420"/>
    </w:pPr>
  </w:style>
  <w:style w:type="character" w:styleId="15">
    <w:name w:val="Strong"/>
    <w:basedOn w:val="14"/>
    <w:qFormat/>
    <w:uiPriority w:val="99"/>
    <w:rPr>
      <w:b/>
      <w:bCs/>
    </w:rPr>
  </w:style>
  <w:style w:type="character" w:styleId="16">
    <w:name w:val="page number"/>
    <w:basedOn w:val="14"/>
    <w:qFormat/>
    <w:locked/>
    <w:uiPriority w:val="99"/>
  </w:style>
  <w:style w:type="character" w:styleId="17">
    <w:name w:val="Emphasis"/>
    <w:basedOn w:val="14"/>
    <w:qFormat/>
    <w:locked/>
    <w:uiPriority w:val="99"/>
  </w:style>
  <w:style w:type="character" w:styleId="18">
    <w:name w:val="Hyperlink"/>
    <w:basedOn w:val="14"/>
    <w:qFormat/>
    <w:uiPriority w:val="99"/>
    <w:rPr>
      <w:color w:val="0000FF"/>
      <w:u w:val="single"/>
    </w:rPr>
  </w:style>
  <w:style w:type="character" w:customStyle="1" w:styleId="19">
    <w:name w:val="Heading 1 Char"/>
    <w:basedOn w:val="14"/>
    <w:link w:val="2"/>
    <w:qFormat/>
    <w:locked/>
    <w:uiPriority w:val="99"/>
    <w:rPr>
      <w:b/>
      <w:bCs/>
      <w:kern w:val="44"/>
      <w:sz w:val="44"/>
      <w:szCs w:val="44"/>
    </w:rPr>
  </w:style>
  <w:style w:type="character" w:customStyle="1" w:styleId="20">
    <w:name w:val="Heading 2 Char"/>
    <w:basedOn w:val="14"/>
    <w:link w:val="3"/>
    <w:qFormat/>
    <w:locked/>
    <w:uiPriority w:val="99"/>
    <w:rPr>
      <w:rFonts w:ascii="Cambria" w:hAnsi="Cambria" w:cs="Cambria"/>
      <w:b/>
      <w:bCs/>
      <w:sz w:val="32"/>
      <w:szCs w:val="32"/>
    </w:rPr>
  </w:style>
  <w:style w:type="character" w:customStyle="1" w:styleId="21">
    <w:name w:val="Body Text Char"/>
    <w:basedOn w:val="14"/>
    <w:link w:val="5"/>
    <w:semiHidden/>
    <w:qFormat/>
    <w:locked/>
    <w:uiPriority w:val="99"/>
    <w:rPr>
      <w:rFonts w:ascii="Times New Roman" w:hAnsi="Times New Roman" w:eastAsia="仿宋_GB2312" w:cs="Times New Roman"/>
      <w:sz w:val="32"/>
      <w:szCs w:val="32"/>
    </w:rPr>
  </w:style>
  <w:style w:type="character" w:customStyle="1" w:styleId="22">
    <w:name w:val="Footer Char"/>
    <w:basedOn w:val="14"/>
    <w:link w:val="7"/>
    <w:semiHidden/>
    <w:qFormat/>
    <w:locked/>
    <w:uiPriority w:val="99"/>
    <w:rPr>
      <w:rFonts w:ascii="Times New Roman" w:hAnsi="Times New Roman" w:eastAsia="仿宋_GB2312" w:cs="Times New Roman"/>
      <w:sz w:val="18"/>
      <w:szCs w:val="18"/>
    </w:rPr>
  </w:style>
  <w:style w:type="character" w:customStyle="1" w:styleId="23">
    <w:name w:val="Header Char"/>
    <w:basedOn w:val="14"/>
    <w:link w:val="8"/>
    <w:semiHidden/>
    <w:qFormat/>
    <w:locked/>
    <w:uiPriority w:val="99"/>
    <w:rPr>
      <w:rFonts w:ascii="Times New Roman" w:hAnsi="Times New Roman" w:eastAsia="仿宋_GB2312" w:cs="Times New Roman"/>
      <w:sz w:val="18"/>
      <w:szCs w:val="18"/>
    </w:rPr>
  </w:style>
  <w:style w:type="paragraph" w:customStyle="1" w:styleId="24">
    <w:name w:val="List Paragraph1"/>
    <w:basedOn w:val="1"/>
    <w:qFormat/>
    <w:uiPriority w:val="99"/>
    <w:pPr>
      <w:ind w:firstLine="420" w:firstLineChars="200"/>
    </w:pPr>
  </w:style>
  <w:style w:type="paragraph" w:customStyle="1" w:styleId="25">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character" w:customStyle="1" w:styleId="26">
    <w:name w:val=" Char Char6"/>
    <w:basedOn w:val="14"/>
    <w:link w:val="2"/>
    <w:qFormat/>
    <w:locked/>
    <w:uiPriority w:val="9"/>
    <w:rPr>
      <w:b/>
      <w:bCs/>
      <w:kern w:val="44"/>
      <w:sz w:val="44"/>
      <w:szCs w:val="44"/>
    </w:rPr>
  </w:style>
  <w:style w:type="character" w:customStyle="1" w:styleId="27">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8">
    <w:name w:val="WPSOffice手动目录 1"/>
    <w:qFormat/>
    <w:uiPriority w:val="0"/>
    <w:pPr>
      <w:ind w:leftChars="0"/>
    </w:pPr>
    <w:rPr>
      <w:rFonts w:ascii="Times New Roman" w:hAnsi="Times New Roman" w:eastAsia="宋体" w:cs="Times New Roman"/>
      <w:sz w:val="20"/>
      <w:szCs w:val="20"/>
    </w:rPr>
  </w:style>
  <w:style w:type="paragraph" w:customStyle="1" w:styleId="2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7.emf"/><Relationship Id="rId17" Type="http://schemas.openxmlformats.org/officeDocument/2006/relationships/oleObject" Target="embeddings/oleObject7.bin"/><Relationship Id="rId16" Type="http://schemas.openxmlformats.org/officeDocument/2006/relationships/image" Target="media/image6.emf"/><Relationship Id="rId15" Type="http://schemas.openxmlformats.org/officeDocument/2006/relationships/oleObject" Target="embeddings/oleObject6.bin"/><Relationship Id="rId14" Type="http://schemas.openxmlformats.org/officeDocument/2006/relationships/image" Target="media/image5.emf"/><Relationship Id="rId13" Type="http://schemas.openxmlformats.org/officeDocument/2006/relationships/oleObject" Target="embeddings/oleObject5.bin"/><Relationship Id="rId12" Type="http://schemas.openxmlformats.org/officeDocument/2006/relationships/image" Target="media/image4.emf"/><Relationship Id="rId11" Type="http://schemas.openxmlformats.org/officeDocument/2006/relationships/oleObject" Target="embeddings/oleObject4.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textRotate="1"/>
    <customShpInfo spid="_x0000_s1026"/>
    <customShpInfo spid="_x0000_s1027"/>
    <customShpInfo spid="_x0000_s1036"/>
    <customShpInfo spid="_x0000_s1028"/>
    <customShpInfo spid="_x0000_s1029"/>
    <customShpInfo spid="_x0000_s1037"/>
    <customShpInfo spid="_x0000_s1038"/>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Company>
  <Pages>34</Pages>
  <Words>14101</Words>
  <Characters>15251</Characters>
  <Lines>0</Lines>
  <Paragraphs>0</Paragraphs>
  <TotalTime>0</TotalTime>
  <ScaleCrop>false</ScaleCrop>
  <LinksUpToDate>false</LinksUpToDate>
  <CharactersWithSpaces>15356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2021-09-08T03:29:00Z</dcterms:created>
  <dc:creator>Administrator</dc:creator>
  <cp:lastModifiedBy>葉絡络叶</cp:lastModifiedBy>
  <cp:lastPrinted>2022-09-26T04:07:00Z</cp:lastPrinted>
  <dcterms:modified xsi:type="dcterms:W3CDTF">2023-09-18T03:22:13Z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540A4ED452AE4B029FFF9764722C47E0</vt:lpwstr>
  </property>
</Properties>
</file>